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27"/>
        <w:gridCol w:w="2536"/>
        <w:gridCol w:w="4395"/>
      </w:tblGrid>
      <w:tr w:rsidR="00F477A9" w:rsidRPr="00BD1AEC" w:rsidTr="00F477A9">
        <w:tc>
          <w:tcPr>
            <w:tcW w:w="4127" w:type="dxa"/>
            <w:hideMark/>
          </w:tcPr>
          <w:p w:rsidR="00F477A9" w:rsidRPr="00BD1AEC" w:rsidRDefault="00F477A9" w:rsidP="00F477A9">
            <w:pPr>
              <w:tabs>
                <w:tab w:val="center" w:pos="3645"/>
                <w:tab w:val="right" w:pos="9406"/>
              </w:tabs>
              <w:spacing w:after="0" w:line="240" w:lineRule="auto"/>
              <w:ind w:left="-109"/>
              <w:rPr>
                <w:szCs w:val="20"/>
                <w:lang w:val="en-GB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543175" cy="819150"/>
                  <wp:effectExtent l="0" t="0" r="9525" b="0"/>
                  <wp:docPr id="5" name="Picture 5" descr="ЕС финансиране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С финансиране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hideMark/>
          </w:tcPr>
          <w:p w:rsidR="00F477A9" w:rsidRPr="00BD1AEC" w:rsidRDefault="00F477A9" w:rsidP="00A21BB3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</w:pPr>
            <w:r>
              <w:rPr>
                <w:noProof/>
                <w:lang w:eastAsia="bg-BG"/>
              </w:rPr>
              <w:t xml:space="preserve">   </w:t>
            </w:r>
            <w:r w:rsidRPr="003D76CC">
              <w:rPr>
                <w:noProof/>
                <w:lang w:eastAsia="bg-BG"/>
              </w:rPr>
              <w:drawing>
                <wp:inline distT="0" distB="0" distL="0" distR="0">
                  <wp:extent cx="1104900" cy="10763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hideMark/>
          </w:tcPr>
          <w:p w:rsidR="00F477A9" w:rsidRPr="00BD1AEC" w:rsidRDefault="00F477A9" w:rsidP="00A21BB3">
            <w:pPr>
              <w:tabs>
                <w:tab w:val="center" w:pos="4703"/>
                <w:tab w:val="right" w:pos="9406"/>
              </w:tabs>
              <w:spacing w:after="0" w:line="240" w:lineRule="auto"/>
              <w:ind w:right="-105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771775" cy="1047750"/>
                  <wp:effectExtent l="0" t="0" r="9525" b="0"/>
                  <wp:docPr id="1" name="Picture 1" descr="pkip за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kip за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8B1" w:rsidRPr="00825503" w:rsidRDefault="003228B1" w:rsidP="00C516C1">
      <w:pPr>
        <w:pStyle w:val="Header"/>
        <w:tabs>
          <w:tab w:val="left" w:pos="1605"/>
        </w:tabs>
        <w:spacing w:line="360" w:lineRule="auto"/>
        <w:rPr>
          <w:rFonts w:ascii="Verdana" w:hAnsi="Verdana" w:cs="Times New Roman"/>
          <w:b/>
          <w:i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                   </w:t>
      </w:r>
      <w:r w:rsidR="00C516C1">
        <w:rPr>
          <w:rFonts w:ascii="Verdana" w:hAnsi="Verdana" w:cs="Times New Roman"/>
          <w:b/>
          <w:sz w:val="20"/>
          <w:szCs w:val="20"/>
        </w:rPr>
        <w:tab/>
      </w:r>
      <w:r w:rsidR="00C516C1">
        <w:rPr>
          <w:rFonts w:ascii="Verdana" w:hAnsi="Verdana" w:cs="Times New Roman"/>
          <w:b/>
          <w:sz w:val="20"/>
          <w:szCs w:val="20"/>
        </w:rPr>
        <w:tab/>
      </w:r>
      <w:r w:rsidR="00C516C1">
        <w:rPr>
          <w:rFonts w:ascii="Verdana" w:hAnsi="Verdana" w:cs="Times New Roman"/>
          <w:b/>
          <w:sz w:val="20"/>
          <w:szCs w:val="20"/>
        </w:rPr>
        <w:tab/>
      </w:r>
      <w:r w:rsidRPr="00825503">
        <w:rPr>
          <w:rFonts w:ascii="Verdana" w:hAnsi="Verdana" w:cs="Times New Roman"/>
          <w:b/>
          <w:i/>
          <w:sz w:val="20"/>
          <w:szCs w:val="20"/>
        </w:rPr>
        <w:t xml:space="preserve">Приложение </w:t>
      </w:r>
      <w:r w:rsidR="00BB08E8" w:rsidRPr="00825503">
        <w:rPr>
          <w:rFonts w:ascii="Verdana" w:hAnsi="Verdana" w:cs="Times New Roman"/>
          <w:b/>
          <w:i/>
          <w:sz w:val="20"/>
          <w:szCs w:val="20"/>
        </w:rPr>
        <w:t>№</w:t>
      </w:r>
      <w:r w:rsidR="00413E33" w:rsidRPr="00825503">
        <w:rPr>
          <w:rFonts w:ascii="Verdana" w:hAnsi="Verdana" w:cs="Times New Roman"/>
          <w:b/>
          <w:i/>
          <w:sz w:val="20"/>
          <w:szCs w:val="20"/>
        </w:rPr>
        <w:t xml:space="preserve"> 3</w:t>
      </w:r>
    </w:p>
    <w:p w:rsidR="003228B1" w:rsidRPr="006A4F41" w:rsidRDefault="003228B1" w:rsidP="003228B1">
      <w:pPr>
        <w:spacing w:after="0" w:line="360" w:lineRule="auto"/>
        <w:jc w:val="right"/>
        <w:rPr>
          <w:rFonts w:ascii="Verdana" w:hAnsi="Verdana" w:cs="Times New Roman"/>
          <w:b/>
          <w:caps/>
          <w:sz w:val="20"/>
          <w:szCs w:val="20"/>
        </w:rPr>
      </w:pPr>
    </w:p>
    <w:p w:rsidR="003228B1" w:rsidRDefault="003228B1" w:rsidP="003228B1">
      <w:pPr>
        <w:spacing w:after="0" w:line="36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  <w:r w:rsidRPr="006A4F41">
        <w:rPr>
          <w:rFonts w:ascii="Verdana" w:hAnsi="Verdana" w:cs="Times New Roman"/>
          <w:b/>
          <w:caps/>
          <w:sz w:val="20"/>
          <w:szCs w:val="20"/>
        </w:rPr>
        <w:t>условия за допустимост на крайни получатели по про</w:t>
      </w:r>
      <w:r>
        <w:rPr>
          <w:rFonts w:ascii="Verdana" w:hAnsi="Verdana" w:cs="Times New Roman"/>
          <w:b/>
          <w:caps/>
          <w:sz w:val="20"/>
          <w:szCs w:val="20"/>
        </w:rPr>
        <w:t>цедураТА</w:t>
      </w:r>
    </w:p>
    <w:p w:rsidR="003228B1" w:rsidRPr="006A4F41" w:rsidRDefault="003228B1" w:rsidP="003228B1">
      <w:pPr>
        <w:spacing w:after="0" w:line="36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</w:p>
    <w:p w:rsidR="003228B1" w:rsidRDefault="003228B1" w:rsidP="003228B1">
      <w:pPr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A4F41">
        <w:rPr>
          <w:rFonts w:ascii="Verdana" w:hAnsi="Verdana" w:cs="Times New Roman"/>
          <w:b/>
          <w:sz w:val="20"/>
          <w:szCs w:val="20"/>
        </w:rPr>
        <w:t>Подкрепата за предприятията, крайни получатели по процедурата, ще бъде организирана съгласно националните и регионални приоритетни сектори, изведени в Националната стратегия за малките и средните предприятия 2021-2027 (НСМСП 2021-2027).</w:t>
      </w:r>
    </w:p>
    <w:p w:rsidR="003228B1" w:rsidRPr="006A4F41" w:rsidRDefault="003228B1" w:rsidP="003228B1">
      <w:pPr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A4F41">
        <w:rPr>
          <w:rFonts w:ascii="Verdana" w:hAnsi="Verdana" w:cs="Times New Roman"/>
          <w:b/>
          <w:sz w:val="20"/>
          <w:szCs w:val="20"/>
        </w:rPr>
        <w:t xml:space="preserve">Допустими по процедурата за подбор на предприятия </w:t>
      </w:r>
      <w:r w:rsidRPr="006A4F41">
        <w:rPr>
          <w:rFonts w:ascii="Verdana" w:hAnsi="Verdana" w:cs="Times New Roman"/>
          <w:b/>
          <w:sz w:val="20"/>
          <w:szCs w:val="20"/>
          <w:u w:val="single"/>
        </w:rPr>
        <w:t>са само кандидати</w:t>
      </w:r>
      <w:r w:rsidRPr="006A4F41">
        <w:rPr>
          <w:rFonts w:ascii="Verdana" w:hAnsi="Verdana" w:cs="Times New Roman"/>
          <w:b/>
          <w:sz w:val="20"/>
          <w:szCs w:val="20"/>
        </w:rPr>
        <w:t>, които отговарят на следните критерии:</w:t>
      </w:r>
    </w:p>
    <w:p w:rsidR="003228B1" w:rsidRPr="006A4F41" w:rsidRDefault="003228B1" w:rsidP="003228B1">
      <w:pPr>
        <w:spacing w:after="360" w:line="36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A4F41">
        <w:rPr>
          <w:rFonts w:ascii="Verdana" w:eastAsia="Calibri" w:hAnsi="Verdana" w:cs="Times New Roman"/>
          <w:b/>
          <w:sz w:val="20"/>
          <w:szCs w:val="20"/>
        </w:rPr>
        <w:t>1) Развиват икономическа дейност в един от определените национални и регионални приоритетни сектори съгласно Националната стратегия за малките и средни предприятия 2021-2027 г. (НСМСП 2021-2027), както следва: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>Национални приоритетни икономически дейности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A4F41">
        <w:rPr>
          <w:rFonts w:ascii="Verdana" w:eastAsia="Calibri" w:hAnsi="Verdana" w:cs="Times New Roman"/>
          <w:b/>
          <w:sz w:val="20"/>
          <w:szCs w:val="20"/>
        </w:rPr>
        <w:t xml:space="preserve">Код </w:t>
      </w:r>
      <w:r>
        <w:rPr>
          <w:rFonts w:ascii="Verdana" w:eastAsia="Calibri" w:hAnsi="Verdana" w:cs="Times New Roman"/>
          <w:b/>
          <w:sz w:val="20"/>
          <w:szCs w:val="20"/>
        </w:rPr>
        <w:t xml:space="preserve">на </w:t>
      </w:r>
      <w:r w:rsidRPr="006A4F41">
        <w:rPr>
          <w:rFonts w:ascii="Verdana" w:eastAsia="Calibri" w:hAnsi="Verdana" w:cs="Times New Roman"/>
          <w:b/>
          <w:sz w:val="20"/>
          <w:szCs w:val="20"/>
        </w:rPr>
        <w:t>Икономическа дейност по КИД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20"/>
          <w:szCs w:val="20"/>
        </w:rPr>
      </w:pPr>
      <w:r w:rsidRPr="006A4F41">
        <w:rPr>
          <w:rFonts w:ascii="Verdana" w:eastAsia="Calibri" w:hAnsi="Verdana" w:cs="Times New Roman"/>
          <w:i/>
          <w:sz w:val="20"/>
          <w:szCs w:val="20"/>
        </w:rPr>
        <w:t>Високотехнологични производства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C21 Производство на лекарствени вещества и продукти</w:t>
      </w:r>
    </w:p>
    <w:p w:rsidR="003228B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C26 Производство на компютърна и комуникационна техника, електронни и оптични продукти</w:t>
      </w:r>
    </w:p>
    <w:p w:rsidR="003228B1" w:rsidRPr="00B617EF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20"/>
          <w:szCs w:val="20"/>
        </w:rPr>
      </w:pPr>
      <w:r w:rsidRPr="006A4F41">
        <w:rPr>
          <w:rFonts w:ascii="Verdana" w:eastAsia="Calibri" w:hAnsi="Verdana" w:cs="Times New Roman"/>
          <w:i/>
          <w:sz w:val="20"/>
          <w:szCs w:val="20"/>
        </w:rPr>
        <w:t>Средно към високотехнологични производства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C20 Производство на химични продукти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C27 Производство на електрически произведения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C28 Производство на машини и оборудване, с общо и специално предназначение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C29 Производство на автомобили, ремаркета и полуремаркета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C30 Производство на превозни средства, без автомобили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20"/>
          <w:szCs w:val="20"/>
        </w:rPr>
      </w:pP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20"/>
          <w:szCs w:val="20"/>
        </w:rPr>
      </w:pPr>
      <w:r w:rsidRPr="006A4F41">
        <w:rPr>
          <w:rFonts w:ascii="Verdana" w:eastAsia="Calibri" w:hAnsi="Verdana" w:cs="Times New Roman"/>
          <w:i/>
          <w:sz w:val="20"/>
          <w:szCs w:val="20"/>
        </w:rPr>
        <w:t>Други производства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Е38 Събиране и обезвреждане на отпадъци; рециклиране на материали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Е39 Възстановяване и други услуги по управление на отпадъци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20"/>
          <w:szCs w:val="20"/>
        </w:rPr>
      </w:pP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20"/>
          <w:szCs w:val="20"/>
        </w:rPr>
      </w:pPr>
      <w:r w:rsidRPr="006A4F41">
        <w:rPr>
          <w:rFonts w:ascii="Verdana" w:eastAsia="Calibri" w:hAnsi="Verdana" w:cs="Times New Roman"/>
          <w:i/>
          <w:sz w:val="20"/>
          <w:szCs w:val="20"/>
        </w:rPr>
        <w:t>Високотехнологични услуги с интензивно използване на знания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J59 Производство на филми и телевизионни предавания, звукозаписване и издаване на музика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J60 Радио- и телевизионна дейност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J61 Далекосъобщения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lastRenderedPageBreak/>
        <w:t>J62 Дейности в областта на информационните технологии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J63 Информационни услуги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M71 Архитектурни и инженерни дейности; технически изпитвания и анализи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M72 Научно-изследователска и развойна дейност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6A4F41">
        <w:rPr>
          <w:rFonts w:ascii="Verdana" w:eastAsia="Calibri" w:hAnsi="Verdana" w:cs="Times New Roman"/>
          <w:b/>
          <w:sz w:val="20"/>
          <w:szCs w:val="20"/>
          <w:u w:val="single"/>
        </w:rPr>
        <w:t>Р</w:t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>егионални</w:t>
      </w:r>
      <w:r w:rsidRPr="006A4F41">
        <w:rPr>
          <w:rFonts w:ascii="Verdana" w:eastAsia="Calibri" w:hAnsi="Verdana" w:cs="Times New Roman"/>
          <w:b/>
          <w:sz w:val="20"/>
          <w:szCs w:val="20"/>
          <w:u w:val="single"/>
        </w:rPr>
        <w:t xml:space="preserve">  приоритетни икономически дейности</w:t>
      </w:r>
    </w:p>
    <w:p w:rsidR="003228B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20"/>
          <w:szCs w:val="20"/>
        </w:rPr>
      </w:pPr>
    </w:p>
    <w:p w:rsidR="003228B1" w:rsidRPr="00B617EF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B617EF">
        <w:rPr>
          <w:rFonts w:ascii="Verdana" w:eastAsia="Calibri" w:hAnsi="Verdana" w:cs="Times New Roman"/>
          <w:b/>
          <w:sz w:val="20"/>
          <w:szCs w:val="20"/>
        </w:rPr>
        <w:t>Код на Икономическа дейност по КИД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C10 Производство на хранителни продукти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C11 Производство на напитки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C13 Производство на тъкани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C14 Производство на облекло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C15 Обработка на кожи; производство на обувки и други изделия от обработени кожи без косъм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C16 Производство на дървен материал и изделия от дървен материал и корк, без мебели; производство на изделия от слама и материали за плетене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C17 Производство на хартия, картон и изделия от хартия и картон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C18 Печатна дейност и възпроизвеждане на записани носители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C19 Производство на кокс и рафинирани нефтопродукти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C22 Производство на изделия от каучук и пластмаси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C23 Производство на изделия от други неметални минерални суровини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C24 Производство на основни метали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C25 Производство на метални изделия, без машини и оборудване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C31 Производство на мебели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C32 Производство, некласифицирано другаде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C33 Ремонт и инсталиране на машини и оборудване</w:t>
      </w: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sz w:val="20"/>
          <w:szCs w:val="20"/>
        </w:rPr>
        <w:t>J58 Издателска дейност</w:t>
      </w:r>
      <w:bookmarkStart w:id="0" w:name="_Хоризонтални_политики:_насърчаване"/>
      <w:bookmarkEnd w:id="0"/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3228B1" w:rsidRPr="006A4F41" w:rsidRDefault="003228B1" w:rsidP="003228B1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6A4F41">
        <w:rPr>
          <w:rFonts w:ascii="Verdana" w:eastAsia="Calibri" w:hAnsi="Verdana" w:cs="Times New Roman"/>
          <w:b/>
          <w:sz w:val="20"/>
          <w:szCs w:val="20"/>
        </w:rPr>
        <w:t>2)</w:t>
      </w:r>
      <w:r w:rsidRPr="006A4F41">
        <w:rPr>
          <w:rFonts w:ascii="Verdana" w:eastAsia="Calibri" w:hAnsi="Verdana" w:cs="Times New Roman"/>
          <w:sz w:val="20"/>
          <w:szCs w:val="20"/>
        </w:rPr>
        <w:t xml:space="preserve"> С оглед </w:t>
      </w:r>
      <w:r>
        <w:rPr>
          <w:rFonts w:ascii="Verdana" w:eastAsia="Calibri" w:hAnsi="Verdana" w:cs="Times New Roman"/>
          <w:sz w:val="20"/>
          <w:szCs w:val="20"/>
        </w:rPr>
        <w:t xml:space="preserve">на </w:t>
      </w:r>
      <w:r w:rsidRPr="006A4F41">
        <w:rPr>
          <w:rFonts w:ascii="Verdana" w:eastAsia="Calibri" w:hAnsi="Verdana" w:cs="Times New Roman"/>
          <w:sz w:val="20"/>
          <w:szCs w:val="20"/>
        </w:rPr>
        <w:t xml:space="preserve">избягване </w:t>
      </w:r>
      <w:r>
        <w:rPr>
          <w:rFonts w:ascii="Verdana" w:eastAsia="Calibri" w:hAnsi="Verdana" w:cs="Times New Roman"/>
          <w:sz w:val="20"/>
          <w:szCs w:val="20"/>
        </w:rPr>
        <w:t xml:space="preserve">на </w:t>
      </w:r>
      <w:r w:rsidRPr="006A4F41">
        <w:rPr>
          <w:rFonts w:ascii="Verdana" w:eastAsia="Calibri" w:hAnsi="Verdana" w:cs="Times New Roman"/>
          <w:sz w:val="20"/>
          <w:szCs w:val="20"/>
        </w:rPr>
        <w:t>припокриване на целеви групи за сходни дейности</w:t>
      </w:r>
      <w:r>
        <w:rPr>
          <w:rFonts w:ascii="Verdana" w:eastAsia="Calibri" w:hAnsi="Verdana" w:cs="Times New Roman"/>
          <w:sz w:val="20"/>
          <w:szCs w:val="20"/>
        </w:rPr>
        <w:t>,</w:t>
      </w:r>
      <w:r w:rsidRPr="006A4F41">
        <w:rPr>
          <w:rFonts w:ascii="Verdana" w:eastAsia="Calibri" w:hAnsi="Verdana" w:cs="Times New Roman"/>
          <w:sz w:val="20"/>
          <w:szCs w:val="20"/>
        </w:rPr>
        <w:t xml:space="preserve"> по настоящата процедура не следва да бъдат обект на подкрепа за участие в панаири и изложения предприятия от сектори, за които са осигурени такива участия по друга програма или чрез одобрени средства от националния бюджет.</w:t>
      </w:r>
    </w:p>
    <w:p w:rsidR="003228B1" w:rsidRDefault="003228B1" w:rsidP="001F66CD">
      <w:p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20"/>
          <w:szCs w:val="20"/>
        </w:rPr>
      </w:pPr>
      <w:r w:rsidRPr="00B617EF">
        <w:rPr>
          <w:rFonts w:ascii="Verdana" w:eastAsia="Calibri" w:hAnsi="Verdana" w:cs="Times New Roman"/>
          <w:i/>
          <w:sz w:val="20"/>
          <w:szCs w:val="20"/>
        </w:rPr>
        <w:t xml:space="preserve">Забележка: </w:t>
      </w:r>
      <w:r>
        <w:rPr>
          <w:rFonts w:ascii="Verdana" w:eastAsia="Calibri" w:hAnsi="Verdana" w:cs="Times New Roman"/>
          <w:i/>
          <w:sz w:val="20"/>
          <w:szCs w:val="20"/>
        </w:rPr>
        <w:t>С цел осигуряване спазване</w:t>
      </w:r>
      <w:r w:rsidRPr="00B617EF">
        <w:rPr>
          <w:rFonts w:ascii="Verdana" w:eastAsia="Calibri" w:hAnsi="Verdana" w:cs="Times New Roman"/>
          <w:i/>
          <w:sz w:val="20"/>
          <w:szCs w:val="20"/>
        </w:rPr>
        <w:t xml:space="preserve"> на посоченото изискване</w:t>
      </w:r>
      <w:r>
        <w:rPr>
          <w:rFonts w:ascii="Verdana" w:eastAsia="Calibri" w:hAnsi="Verdana" w:cs="Times New Roman"/>
          <w:i/>
          <w:sz w:val="20"/>
          <w:szCs w:val="20"/>
        </w:rPr>
        <w:t>,</w:t>
      </w:r>
      <w:r w:rsidRPr="00B617EF">
        <w:rPr>
          <w:rFonts w:ascii="Verdana" w:eastAsia="Calibri" w:hAnsi="Verdana" w:cs="Times New Roman"/>
          <w:i/>
          <w:sz w:val="20"/>
          <w:szCs w:val="20"/>
        </w:rPr>
        <w:t xml:space="preserve"> ИАНМСП следва да осъществява взаимодействие с Министерство на земеделието</w:t>
      </w:r>
      <w:r w:rsidR="00846EF9">
        <w:rPr>
          <w:rFonts w:ascii="Verdana" w:eastAsia="Calibri" w:hAnsi="Verdana" w:cs="Times New Roman"/>
          <w:i/>
          <w:sz w:val="20"/>
          <w:szCs w:val="20"/>
        </w:rPr>
        <w:t xml:space="preserve"> и храните</w:t>
      </w:r>
      <w:r w:rsidRPr="00B617EF">
        <w:rPr>
          <w:rFonts w:ascii="Verdana" w:eastAsia="Calibri" w:hAnsi="Verdana" w:cs="Times New Roman"/>
          <w:i/>
          <w:sz w:val="20"/>
          <w:szCs w:val="20"/>
        </w:rPr>
        <w:t xml:space="preserve"> и с Министерство на културата с цел получаване на своевременна информация за планираните събития и осигурени участия за предприятия за съответната година.</w:t>
      </w:r>
    </w:p>
    <w:p w:rsidR="00443301" w:rsidRPr="00B617EF" w:rsidRDefault="00443301" w:rsidP="001F66CD">
      <w:p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20"/>
          <w:szCs w:val="20"/>
        </w:rPr>
      </w:pPr>
      <w:bookmarkStart w:id="1" w:name="_GoBack"/>
      <w:bookmarkEnd w:id="1"/>
    </w:p>
    <w:p w:rsidR="003228B1" w:rsidRPr="00CB521B" w:rsidRDefault="003228B1" w:rsidP="00B61AC8">
      <w:pPr>
        <w:spacing w:after="0" w:line="360" w:lineRule="auto"/>
        <w:jc w:val="both"/>
        <w:rPr>
          <w:sz w:val="24"/>
          <w:szCs w:val="24"/>
        </w:rPr>
      </w:pPr>
      <w:r w:rsidRPr="006A4F41">
        <w:rPr>
          <w:rFonts w:ascii="Verdana" w:hAnsi="Verdana" w:cs="Times New Roman"/>
          <w:b/>
          <w:sz w:val="20"/>
          <w:szCs w:val="20"/>
        </w:rPr>
        <w:t>3)</w:t>
      </w:r>
      <w:r w:rsidRPr="006A4F41">
        <w:rPr>
          <w:rFonts w:ascii="Verdana" w:hAnsi="Verdana" w:cs="Times New Roman"/>
          <w:sz w:val="20"/>
          <w:szCs w:val="20"/>
        </w:rPr>
        <w:t xml:space="preserve"> Потенциалните крайни получатели не могат да получат подкрепа, в случай че не отговарят на изискванията и попадат в </w:t>
      </w:r>
      <w:r w:rsidRPr="006A4F41">
        <w:rPr>
          <w:rFonts w:ascii="Verdana" w:hAnsi="Verdana" w:cs="Times New Roman"/>
          <w:b/>
          <w:sz w:val="20"/>
          <w:szCs w:val="20"/>
        </w:rPr>
        <w:t>забранителните режими</w:t>
      </w:r>
      <w:r w:rsidRPr="006A4F41">
        <w:rPr>
          <w:rFonts w:ascii="Verdana" w:hAnsi="Verdana" w:cs="Times New Roman"/>
          <w:sz w:val="20"/>
          <w:szCs w:val="20"/>
        </w:rPr>
        <w:t xml:space="preserve"> на</w:t>
      </w:r>
      <w:r w:rsidR="00FF2B10">
        <w:rPr>
          <w:rFonts w:ascii="Verdana" w:hAnsi="Verdana" w:cs="Times New Roman"/>
          <w:bCs/>
          <w:sz w:val="20"/>
          <w:szCs w:val="20"/>
        </w:rPr>
        <w:t xml:space="preserve"> </w:t>
      </w:r>
      <w:r w:rsidR="00FF2B10" w:rsidRPr="00FF2B10">
        <w:rPr>
          <w:rFonts w:ascii="Verdana" w:hAnsi="Verdana" w:cs="Times New Roman"/>
          <w:bCs/>
          <w:sz w:val="20"/>
          <w:szCs w:val="20"/>
        </w:rPr>
        <w:t>Регламент (ЕС) 2023/2831 на Комисията от 13 декември 2023 г</w:t>
      </w:r>
      <w:r w:rsidR="00FF2B10">
        <w:rPr>
          <w:rFonts w:ascii="Verdana" w:hAnsi="Verdana" w:cs="Times New Roman"/>
          <w:bCs/>
          <w:sz w:val="20"/>
          <w:szCs w:val="20"/>
        </w:rPr>
        <w:t xml:space="preserve">. </w:t>
      </w:r>
    </w:p>
    <w:p w:rsidR="00862F5B" w:rsidRPr="00CB521B" w:rsidRDefault="000C1F4D" w:rsidP="003228B1">
      <w:pPr>
        <w:spacing w:after="0"/>
        <w:jc w:val="center"/>
        <w:rPr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</w:p>
    <w:sectPr w:rsidR="00862F5B" w:rsidRPr="00CB521B" w:rsidSect="00BE3E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0" w:right="707" w:bottom="56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CE" w:rsidRDefault="00CE3FCE" w:rsidP="00741852">
      <w:pPr>
        <w:spacing w:after="0" w:line="240" w:lineRule="auto"/>
      </w:pPr>
      <w:r>
        <w:separator/>
      </w:r>
    </w:p>
  </w:endnote>
  <w:endnote w:type="continuationSeparator" w:id="0">
    <w:p w:rsidR="00CE3FCE" w:rsidRDefault="00CE3FCE" w:rsidP="0074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80" w:rsidRDefault="001D2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5E" w:rsidRPr="00A1355E" w:rsidRDefault="00A1355E" w:rsidP="00A1355E">
    <w:pPr>
      <w:tabs>
        <w:tab w:val="center" w:pos="4703"/>
        <w:tab w:val="right" w:pos="9406"/>
      </w:tabs>
      <w:spacing w:after="0" w:line="252" w:lineRule="auto"/>
      <w:jc w:val="center"/>
      <w:rPr>
        <w:rFonts w:ascii="Verdana" w:eastAsia="Calibri" w:hAnsi="Verdana" w:cs="Times New Roman"/>
        <w:bCs/>
        <w:i/>
        <w:sz w:val="12"/>
        <w:szCs w:val="12"/>
      </w:rPr>
    </w:pPr>
    <w:r w:rsidRPr="00A1355E">
      <w:rPr>
        <w:rFonts w:ascii="Verdana" w:eastAsia="Calibri" w:hAnsi="Verdana" w:cs="Times New Roman"/>
        <w:bCs/>
        <w:i/>
        <w:sz w:val="12"/>
        <w:szCs w:val="12"/>
      </w:rPr>
      <w:t>Проект BG16RFPR001-1.002-0001</w:t>
    </w:r>
  </w:p>
  <w:p w:rsidR="00A1355E" w:rsidRPr="00A1355E" w:rsidRDefault="00A1355E" w:rsidP="00A1355E">
    <w:pPr>
      <w:tabs>
        <w:tab w:val="center" w:pos="4703"/>
        <w:tab w:val="right" w:pos="9406"/>
      </w:tabs>
      <w:spacing w:after="0" w:line="252" w:lineRule="auto"/>
      <w:jc w:val="center"/>
      <w:rPr>
        <w:rFonts w:ascii="Verdana" w:eastAsia="Calibri" w:hAnsi="Verdana" w:cs="Times New Roman"/>
        <w:i/>
        <w:sz w:val="12"/>
        <w:szCs w:val="12"/>
        <w:lang w:val="de-DE"/>
      </w:rPr>
    </w:pPr>
    <w:r w:rsidRPr="00A1355E">
      <w:rPr>
        <w:rFonts w:ascii="Verdana" w:eastAsia="Calibri" w:hAnsi="Verdana" w:cs="Times New Roman"/>
        <w:i/>
        <w:sz w:val="12"/>
        <w:szCs w:val="12"/>
      </w:rPr>
      <w:t xml:space="preserve"> „Реализация на мерки за интернационализация на българските МСП чрез подкрепа дейността на Изпълнителна агенция за насърчаване на малките и средните предприятия“ по Програма „Конкурентоспособност и иновации в предприятията“ 2021-2027</w:t>
    </w:r>
  </w:p>
  <w:p w:rsidR="001D2480" w:rsidRDefault="00A1355E" w:rsidP="00A1355E">
    <w:pPr>
      <w:tabs>
        <w:tab w:val="center" w:pos="4703"/>
        <w:tab w:val="right" w:pos="9406"/>
      </w:tabs>
      <w:spacing w:after="0" w:line="252" w:lineRule="auto"/>
      <w:jc w:val="center"/>
      <w:rPr>
        <w:rFonts w:ascii="Verdana" w:eastAsia="Calibri" w:hAnsi="Verdana" w:cs="Times New Roman"/>
        <w:i/>
        <w:iCs/>
        <w:sz w:val="12"/>
        <w:szCs w:val="12"/>
      </w:rPr>
    </w:pPr>
    <w:r w:rsidRPr="00A1355E">
      <w:rPr>
        <w:rFonts w:ascii="Verdana" w:eastAsia="Calibri" w:hAnsi="Verdana" w:cs="Times New Roman"/>
        <w:i/>
        <w:iCs/>
        <w:sz w:val="12"/>
        <w:szCs w:val="12"/>
      </w:rPr>
      <w:t xml:space="preserve">Този документ е създаден с финансовата подкрепа на </w:t>
    </w:r>
    <w:r w:rsidR="00106E58">
      <w:rPr>
        <w:rFonts w:ascii="Verdana" w:eastAsia="Calibri" w:hAnsi="Verdana" w:cs="Times New Roman"/>
        <w:i/>
        <w:iCs/>
        <w:sz w:val="12"/>
        <w:szCs w:val="12"/>
      </w:rPr>
      <w:t>П</w:t>
    </w:r>
    <w:r w:rsidRPr="00A1355E">
      <w:rPr>
        <w:rFonts w:ascii="Verdana" w:eastAsia="Calibri" w:hAnsi="Verdana" w:cs="Times New Roman"/>
        <w:i/>
        <w:iCs/>
        <w:sz w:val="12"/>
        <w:szCs w:val="12"/>
      </w:rPr>
      <w:t xml:space="preserve">рограма </w:t>
    </w:r>
    <w:r w:rsidRPr="00A1355E">
      <w:rPr>
        <w:rFonts w:ascii="Verdana" w:eastAsia="Calibri" w:hAnsi="Verdana" w:cs="Times New Roman"/>
        <w:i/>
        <w:sz w:val="12"/>
        <w:szCs w:val="12"/>
      </w:rPr>
      <w:t>„Конкурентоспособност и иновации в предприятията“ 2021-2027</w:t>
    </w:r>
    <w:r w:rsidRPr="00A1355E">
      <w:rPr>
        <w:rFonts w:ascii="Verdana" w:eastAsia="Calibri" w:hAnsi="Verdana" w:cs="Times New Roman"/>
        <w:i/>
        <w:iCs/>
        <w:sz w:val="12"/>
        <w:szCs w:val="12"/>
      </w:rPr>
      <w:t xml:space="preserve">, съфинансирана от Европейския съюз чрез Европейския фонд за регионално развитие. Цялата отговорност за съдържанието на документа се носи от Изпълнителна агенция за насърчаване на малките и средните предприятия и при никакви обстоятелства не може да се приема, че този документ отразява </w:t>
    </w:r>
  </w:p>
  <w:p w:rsidR="00A1355E" w:rsidRPr="00A1355E" w:rsidRDefault="00A1355E" w:rsidP="00A1355E">
    <w:pPr>
      <w:tabs>
        <w:tab w:val="center" w:pos="4703"/>
        <w:tab w:val="right" w:pos="9406"/>
      </w:tabs>
      <w:spacing w:after="0" w:line="252" w:lineRule="auto"/>
      <w:jc w:val="center"/>
      <w:rPr>
        <w:rFonts w:ascii="Verdana" w:eastAsia="Calibri" w:hAnsi="Verdana" w:cs="Times New Roman"/>
        <w:i/>
        <w:sz w:val="12"/>
        <w:szCs w:val="12"/>
      </w:rPr>
    </w:pPr>
    <w:r w:rsidRPr="00A1355E">
      <w:rPr>
        <w:rFonts w:ascii="Verdana" w:eastAsia="Calibri" w:hAnsi="Verdana" w:cs="Times New Roman"/>
        <w:i/>
        <w:iCs/>
        <w:sz w:val="12"/>
        <w:szCs w:val="12"/>
      </w:rPr>
      <w:t>официалното становище на Европейския съюз и Управляващия орган</w:t>
    </w:r>
    <w:r w:rsidRPr="00A1355E">
      <w:rPr>
        <w:rFonts w:ascii="Verdana" w:eastAsia="Calibri" w:hAnsi="Verdana" w:cs="Times New Roman"/>
        <w:i/>
        <w:sz w:val="12"/>
        <w:szCs w:val="12"/>
      </w:rPr>
      <w:t>.</w:t>
    </w:r>
  </w:p>
  <w:p w:rsidR="00A1355E" w:rsidRPr="00A1355E" w:rsidRDefault="00A1355E" w:rsidP="00A1355E">
    <w:pPr>
      <w:tabs>
        <w:tab w:val="center" w:pos="4703"/>
        <w:tab w:val="right" w:pos="9406"/>
      </w:tabs>
      <w:spacing w:after="0" w:line="252" w:lineRule="auto"/>
      <w:jc w:val="center"/>
      <w:rPr>
        <w:rFonts w:ascii="Calibri" w:eastAsia="Calibri" w:hAnsi="Calibri" w:cs="Times New Roman"/>
        <w:i/>
      </w:rPr>
    </w:pPr>
    <w:r w:rsidRPr="00A1355E">
      <w:rPr>
        <w:rFonts w:ascii="Verdana" w:eastAsia="Calibri" w:hAnsi="Verdana" w:cs="Times New Roman"/>
        <w:i/>
        <w:sz w:val="12"/>
        <w:szCs w:val="12"/>
      </w:rPr>
      <w:t>https://www.eufunds.bg/bg</w:t>
    </w:r>
  </w:p>
  <w:p w:rsidR="003228B1" w:rsidRPr="00A1355E" w:rsidRDefault="003228B1" w:rsidP="00A135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80" w:rsidRDefault="001D2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CE" w:rsidRDefault="00CE3FCE" w:rsidP="00741852">
      <w:pPr>
        <w:spacing w:after="0" w:line="240" w:lineRule="auto"/>
      </w:pPr>
      <w:r>
        <w:separator/>
      </w:r>
    </w:p>
  </w:footnote>
  <w:footnote w:type="continuationSeparator" w:id="0">
    <w:p w:rsidR="00CE3FCE" w:rsidRDefault="00CE3FCE" w:rsidP="0074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80" w:rsidRDefault="001D2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62D" w:rsidRDefault="0063362D" w:rsidP="0063362D">
    <w:pPr>
      <w:pStyle w:val="Header"/>
      <w:rPr>
        <w:b/>
        <w:i/>
      </w:rPr>
    </w:pPr>
  </w:p>
  <w:p w:rsidR="00964500" w:rsidRPr="000570E8" w:rsidRDefault="00964500" w:rsidP="00964500">
    <w:pPr>
      <w:pStyle w:val="Header"/>
      <w:jc w:val="right"/>
      <w:rPr>
        <w:b/>
        <w:i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80" w:rsidRDefault="001D2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8E"/>
    <w:rsid w:val="000171D8"/>
    <w:rsid w:val="00051308"/>
    <w:rsid w:val="000570E8"/>
    <w:rsid w:val="00076819"/>
    <w:rsid w:val="000871FC"/>
    <w:rsid w:val="000C1F4D"/>
    <w:rsid w:val="001013FA"/>
    <w:rsid w:val="00106E58"/>
    <w:rsid w:val="0015608E"/>
    <w:rsid w:val="001C47CE"/>
    <w:rsid w:val="001D2480"/>
    <w:rsid w:val="001F66CD"/>
    <w:rsid w:val="00321C36"/>
    <w:rsid w:val="003228B1"/>
    <w:rsid w:val="0041146A"/>
    <w:rsid w:val="00413E33"/>
    <w:rsid w:val="00443301"/>
    <w:rsid w:val="00447F74"/>
    <w:rsid w:val="00460FCC"/>
    <w:rsid w:val="00477940"/>
    <w:rsid w:val="00496147"/>
    <w:rsid w:val="004F4B83"/>
    <w:rsid w:val="00500939"/>
    <w:rsid w:val="00562524"/>
    <w:rsid w:val="005A3CE9"/>
    <w:rsid w:val="006335BF"/>
    <w:rsid w:val="0063362D"/>
    <w:rsid w:val="006621AE"/>
    <w:rsid w:val="00663FBE"/>
    <w:rsid w:val="006643F0"/>
    <w:rsid w:val="00730B6C"/>
    <w:rsid w:val="00741852"/>
    <w:rsid w:val="007609C3"/>
    <w:rsid w:val="00766D7F"/>
    <w:rsid w:val="00825503"/>
    <w:rsid w:val="00846EF9"/>
    <w:rsid w:val="00862F5B"/>
    <w:rsid w:val="008B35B4"/>
    <w:rsid w:val="00930900"/>
    <w:rsid w:val="00964500"/>
    <w:rsid w:val="009979C3"/>
    <w:rsid w:val="009D5E2A"/>
    <w:rsid w:val="009E1784"/>
    <w:rsid w:val="00A12C62"/>
    <w:rsid w:val="00A1355E"/>
    <w:rsid w:val="00A23DD5"/>
    <w:rsid w:val="00AF4E22"/>
    <w:rsid w:val="00B35735"/>
    <w:rsid w:val="00B61AC8"/>
    <w:rsid w:val="00BA1692"/>
    <w:rsid w:val="00BB08E8"/>
    <w:rsid w:val="00BE3E91"/>
    <w:rsid w:val="00BE50CA"/>
    <w:rsid w:val="00C516C1"/>
    <w:rsid w:val="00C82A82"/>
    <w:rsid w:val="00C97CA9"/>
    <w:rsid w:val="00CB521B"/>
    <w:rsid w:val="00CE3FCE"/>
    <w:rsid w:val="00D41D5D"/>
    <w:rsid w:val="00D442E1"/>
    <w:rsid w:val="00E32918"/>
    <w:rsid w:val="00E75D6F"/>
    <w:rsid w:val="00EB1D50"/>
    <w:rsid w:val="00ED096B"/>
    <w:rsid w:val="00ED22AB"/>
    <w:rsid w:val="00F35C32"/>
    <w:rsid w:val="00F477A9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632FF"/>
  <w15:docId w15:val="{6BB647B9-26E1-4E97-991A-1AD94A56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52"/>
  </w:style>
  <w:style w:type="paragraph" w:styleId="Footer">
    <w:name w:val="footer"/>
    <w:basedOn w:val="Normal"/>
    <w:link w:val="FooterChar"/>
    <w:uiPriority w:val="99"/>
    <w:unhideWhenUsed/>
    <w:rsid w:val="0074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52"/>
  </w:style>
  <w:style w:type="paragraph" w:styleId="FootnoteText">
    <w:name w:val="footnote text"/>
    <w:basedOn w:val="Normal"/>
    <w:link w:val="FootnoteTextChar"/>
    <w:uiPriority w:val="99"/>
    <w:semiHidden/>
    <w:unhideWhenUsed/>
    <w:rsid w:val="00F35C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C32"/>
    <w:rPr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t"/>
    <w:uiPriority w:val="99"/>
    <w:unhideWhenUsed/>
    <w:rsid w:val="00F35C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9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F005-BA45-4C50-ABD8-F2C8510B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dmalhasyan</dc:creator>
  <cp:lastModifiedBy>Nikolina Georgieva</cp:lastModifiedBy>
  <cp:revision>7</cp:revision>
  <dcterms:created xsi:type="dcterms:W3CDTF">2024-02-25T13:01:00Z</dcterms:created>
  <dcterms:modified xsi:type="dcterms:W3CDTF">2024-07-25T11:18:00Z</dcterms:modified>
</cp:coreProperties>
</file>