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val="en-US" w:eastAsia="zh-CN"/>
        </w:rPr>
      </w:pPr>
      <w:bookmarkStart w:id="0" w:name="_Hlk207642186"/>
      <w:r>
        <w:rPr>
          <w:rFonts w:hint="eastAsia" w:ascii="黑体" w:hAnsi="黑体" w:eastAsia="黑体" w:cs="黑体"/>
          <w:sz w:val="28"/>
          <w:szCs w:val="28"/>
          <w:lang w:val="en-US" w:eastAsia="zh-CN"/>
        </w:rPr>
        <w:t>中国企业简介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sz w:val="28"/>
          <w:szCs w:val="28"/>
          <w:lang w:val="en-US" w:eastAsia="zh-CN"/>
        </w:rPr>
      </w:pPr>
      <w:r>
        <w:rPr>
          <w:rFonts w:hint="default" w:ascii="Times New Roman" w:hAnsi="Times New Roman" w:eastAsia="方正小标宋简体" w:cs="Times New Roman"/>
          <w:sz w:val="28"/>
          <w:szCs w:val="28"/>
          <w:lang w:val="en-US" w:eastAsia="zh-CN"/>
        </w:rPr>
        <w:t>Chinese Enterprise Profile</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小标宋简体"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小标宋简体" w:cs="Times New Roman"/>
          <w:sz w:val="24"/>
          <w:szCs w:val="24"/>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小标宋简体" w:cs="Times New Roman"/>
          <w:sz w:val="24"/>
          <w:szCs w:val="24"/>
        </w:rPr>
      </w:pPr>
      <w:bookmarkStart w:id="10" w:name="_GoBack"/>
      <w:bookmarkEnd w:id="10"/>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方正小标宋简体" w:cs="Times New Roman"/>
          <w:sz w:val="24"/>
          <w:szCs w:val="24"/>
        </w:rPr>
        <w:t>江苏省国信集团有限公司简介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江苏省国信集团有限公司成立于2001年8月，是江苏省属企业中唯一的改建国有资本投资运营公司试点单位，承担综合能源保供、金融服务实体经济、支持战略性新兴产业发展等职责，注册资本金为人民币500亿元。拥有江苏国信股份有限公司（SZ.002608）、江苏省新能源开发股份有限公司（SH.603693）2家上市公司。截至2024年末，集团总资产2416亿元，净资产1224亿元；2024年度实现营业收入512亿元，实现利润总额116亿元。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国信集团围绕增强核心功能、提高核心竞争力，积极发挥科技创新、产业控制和安全支撑“三个作用”，逐步形成了能源、金融、战略性新兴产业投资三大主业，构建了能源、金融“双轮驱动”，产业、资本相互促进的发展格局。</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能源业务方面，坚持发挥全省能源供应主力军作用，逐步建立了“风、光、水、火、气、储”多能互补的综合能源体系，已投产控股装机容量约2250万千瓦，参股权益装机容量约1100万千瓦，已核准和在建控股装机容量约1270万千瓦，并在山西建成投产江苏最大的省外能源基地，总装机容量396万千瓦，每年向江苏送电约200亿千瓦时；投运天然气管道超520公里，已核准和在建天然气管道近1000公里。坚持以科技创新引领能源新质生产力发展，依托国信研究院，加快攻坚压缩空气储能关键核心技术，积极探索零碳园区建设，着力构建新型能源体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金融业务方面，省国信集团拥有信托公司、财务公司、期货公司、保险经纪公司、担保公司等金融机构，受托管理利安人寿，其中信托公司综合实力排名省内第一、位居行业前列，信托资产规模超6000亿元；利安人寿综合实力位列省内法人寿险公司第一，资产规模超1200亿元。服务金融强省战略，省国信集团参与发起组建了江苏银行、华泰证券、紫金保险等省级地方金融机构，长期支持其发展，均为第一大股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在战略性新兴产业投资方面，省国信集团积极承担省委、省政府安排的重大战略出资任务，主动开展能源相关战略性新兴产业投资，更好服务江苏构建现代化产业体系。</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Introduction to Jiangsu Guoxin Investment Group Limited</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Jiangsu Guoxin Investment Group Limited (</w:t>
      </w:r>
      <w:r>
        <w:rPr>
          <w:rFonts w:hint="default" w:ascii="Times New Roman" w:hAnsi="Times New Roman" w:cs="Times New Roman"/>
          <w:sz w:val="24"/>
          <w:szCs w:val="24"/>
        </w:rPr>
        <w:t xml:space="preserve">hereinafter </w:t>
      </w:r>
      <w:r>
        <w:rPr>
          <w:rFonts w:hint="default" w:ascii="Times New Roman" w:hAnsi="Times New Roman" w:cs="Times New Roman"/>
          <w:sz w:val="24"/>
          <w:szCs w:val="24"/>
        </w:rPr>
        <w:t>referred to as</w:t>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"the </w:t>
      </w:r>
      <w:r>
        <w:rPr>
          <w:rFonts w:hint="default" w:ascii="Times New Roman" w:hAnsi="Times New Roman" w:cs="Times New Roman"/>
          <w:sz w:val="24"/>
          <w:szCs w:val="24"/>
        </w:rPr>
        <w:t>Group</w:t>
      </w:r>
      <w:r>
        <w:rPr>
          <w:rFonts w:hint="default" w:ascii="Times New Roman" w:hAnsi="Times New Roman" w:cs="Times New Roman"/>
          <w:sz w:val="24"/>
          <w:szCs w:val="24"/>
        </w:rPr>
        <w:t>"), established in</w:t>
      </w:r>
      <w:r>
        <w:rPr>
          <w:rFonts w:hint="default" w:ascii="Times New Roman" w:hAnsi="Times New Roman" w:cs="Times New Roman"/>
          <w:sz w:val="24"/>
          <w:szCs w:val="24"/>
        </w:rPr>
        <w:t xml:space="preserve"> </w:t>
      </w:r>
      <w:r>
        <w:rPr>
          <w:rFonts w:hint="default" w:ascii="Times New Roman" w:hAnsi="Times New Roman" w:cs="Times New Roman"/>
          <w:sz w:val="24"/>
          <w:szCs w:val="24"/>
        </w:rPr>
        <w:t>2001, is the sole pilo</w:t>
      </w:r>
      <w:r>
        <w:rPr>
          <w:rFonts w:hint="default" w:ascii="Times New Roman" w:hAnsi="Times New Roman" w:cs="Times New Roman"/>
          <w:sz w:val="24"/>
          <w:szCs w:val="24"/>
        </w:rPr>
        <w:t>t</w:t>
      </w:r>
      <w:r>
        <w:rPr>
          <w:rFonts w:hint="default" w:ascii="Times New Roman" w:hAnsi="Times New Roman" w:cs="Times New Roman"/>
          <w:sz w:val="24"/>
          <w:szCs w:val="24"/>
        </w:rPr>
        <w:t xml:space="preserve"> among provincial state-owned enterprises designated for restructuring into a state-owned investment and operation company.</w:t>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It is responsible for ensuring integrated energy supply, providing financial services to bolster the real economy, and fostering the development of strategic emerging industries. The </w:t>
      </w:r>
      <w:r>
        <w:rPr>
          <w:rFonts w:hint="default" w:ascii="Times New Roman" w:hAnsi="Times New Roman" w:cs="Times New Roman"/>
          <w:sz w:val="24"/>
          <w:szCs w:val="24"/>
        </w:rPr>
        <w:t>Group</w:t>
      </w:r>
      <w:r>
        <w:rPr>
          <w:rFonts w:hint="default" w:ascii="Times New Roman" w:hAnsi="Times New Roman" w:cs="Times New Roman"/>
          <w:sz w:val="24"/>
          <w:szCs w:val="24"/>
        </w:rPr>
        <w:t xml:space="preserve"> has a registered capital of </w:t>
      </w:r>
      <w:r>
        <w:rPr>
          <w:rFonts w:hint="default" w:ascii="Times New Roman" w:hAnsi="Times New Roman" w:cs="Times New Roman"/>
          <w:sz w:val="24"/>
          <w:szCs w:val="24"/>
        </w:rPr>
        <w:t>50</w:t>
      </w:r>
      <w:r>
        <w:rPr>
          <w:rFonts w:hint="default" w:ascii="Times New Roman" w:hAnsi="Times New Roman" w:cs="Times New Roman"/>
          <w:sz w:val="24"/>
          <w:szCs w:val="24"/>
        </w:rPr>
        <w:t xml:space="preserve"> billion </w:t>
      </w:r>
      <w:r>
        <w:rPr>
          <w:rFonts w:hint="default" w:ascii="Times New Roman" w:hAnsi="Times New Roman" w:cs="Times New Roman"/>
          <w:sz w:val="24"/>
          <w:szCs w:val="24"/>
        </w:rPr>
        <w:t>yuan</w:t>
      </w:r>
      <w:r>
        <w:rPr>
          <w:rFonts w:hint="default" w:ascii="Times New Roman" w:hAnsi="Times New Roman" w:cs="Times New Roman"/>
          <w:sz w:val="24"/>
          <w:szCs w:val="24"/>
        </w:rPr>
        <w:t>, and it owns two listed companies: Jiangsu Guoxin Co., Ltd. (SZ.002608) and Jiangsu New Energy Development Co., Ltd. (SH</w:t>
      </w:r>
      <w:r>
        <w:rPr>
          <w:rFonts w:hint="default" w:ascii="Times New Roman" w:hAnsi="Times New Roman" w:cs="Times New Roman"/>
          <w:sz w:val="24"/>
          <w:szCs w:val="24"/>
        </w:rPr>
        <w:t>.</w:t>
      </w:r>
      <w:r>
        <w:rPr>
          <w:rFonts w:hint="default" w:ascii="Times New Roman" w:hAnsi="Times New Roman" w:cs="Times New Roman"/>
          <w:sz w:val="24"/>
          <w:szCs w:val="24"/>
        </w:rPr>
        <w:t>603693). As of the end of 202</w:t>
      </w:r>
      <w:r>
        <w:rPr>
          <w:rFonts w:hint="default" w:ascii="Times New Roman" w:hAnsi="Times New Roman" w:cs="Times New Roman"/>
          <w:sz w:val="24"/>
          <w:szCs w:val="24"/>
        </w:rPr>
        <w:t>4</w:t>
      </w:r>
      <w:r>
        <w:rPr>
          <w:rFonts w:hint="default" w:ascii="Times New Roman" w:hAnsi="Times New Roman" w:cs="Times New Roman"/>
          <w:sz w:val="24"/>
          <w:szCs w:val="24"/>
        </w:rPr>
        <w:t xml:space="preserve">, the </w:t>
      </w:r>
      <w:r>
        <w:rPr>
          <w:rFonts w:hint="default" w:ascii="Times New Roman" w:hAnsi="Times New Roman" w:cs="Times New Roman"/>
          <w:sz w:val="24"/>
          <w:szCs w:val="24"/>
        </w:rPr>
        <w:t>G</w:t>
      </w:r>
      <w:r>
        <w:rPr>
          <w:rFonts w:hint="default" w:ascii="Times New Roman" w:hAnsi="Times New Roman" w:cs="Times New Roman"/>
          <w:sz w:val="24"/>
          <w:szCs w:val="24"/>
        </w:rPr>
        <w:t>roup’s total assets amounted to 2</w:t>
      </w:r>
      <w:r>
        <w:rPr>
          <w:rFonts w:hint="default" w:ascii="Times New Roman" w:hAnsi="Times New Roman" w:cs="Times New Roman"/>
          <w:sz w:val="24"/>
          <w:szCs w:val="24"/>
        </w:rPr>
        <w:t>41</w:t>
      </w:r>
      <w:r>
        <w:rPr>
          <w:rFonts w:hint="default" w:ascii="Times New Roman" w:hAnsi="Times New Roman" w:cs="Times New Roman"/>
          <w:sz w:val="24"/>
          <w:szCs w:val="24"/>
        </w:rPr>
        <w:t>.6 billion yuan, with net assets of 1</w:t>
      </w:r>
      <w:r>
        <w:rPr>
          <w:rFonts w:hint="default" w:ascii="Times New Roman" w:hAnsi="Times New Roman" w:cs="Times New Roman"/>
          <w:sz w:val="24"/>
          <w:szCs w:val="24"/>
        </w:rPr>
        <w:t>22</w:t>
      </w:r>
      <w:r>
        <w:rPr>
          <w:rFonts w:hint="default" w:ascii="Times New Roman" w:hAnsi="Times New Roman" w:cs="Times New Roman"/>
          <w:sz w:val="24"/>
          <w:szCs w:val="24"/>
        </w:rPr>
        <w:t>.</w:t>
      </w:r>
      <w:r>
        <w:rPr>
          <w:rFonts w:hint="default" w:ascii="Times New Roman" w:hAnsi="Times New Roman" w:cs="Times New Roman"/>
          <w:sz w:val="24"/>
          <w:szCs w:val="24"/>
        </w:rPr>
        <w:t>4</w:t>
      </w:r>
      <w:r>
        <w:rPr>
          <w:rFonts w:hint="default" w:ascii="Times New Roman" w:hAnsi="Times New Roman" w:cs="Times New Roman"/>
          <w:sz w:val="24"/>
          <w:szCs w:val="24"/>
        </w:rPr>
        <w:t xml:space="preserve"> billion yuan. In 202</w:t>
      </w:r>
      <w:r>
        <w:rPr>
          <w:rFonts w:hint="default" w:ascii="Times New Roman" w:hAnsi="Times New Roman" w:cs="Times New Roman"/>
          <w:sz w:val="24"/>
          <w:szCs w:val="24"/>
        </w:rPr>
        <w:t>4</w:t>
      </w:r>
      <w:r>
        <w:rPr>
          <w:rFonts w:hint="default" w:ascii="Times New Roman" w:hAnsi="Times New Roman" w:cs="Times New Roman"/>
          <w:sz w:val="24"/>
          <w:szCs w:val="24"/>
        </w:rPr>
        <w:t xml:space="preserve">, the </w:t>
      </w:r>
      <w:r>
        <w:rPr>
          <w:rFonts w:hint="default" w:ascii="Times New Roman" w:hAnsi="Times New Roman" w:cs="Times New Roman"/>
          <w:sz w:val="24"/>
          <w:szCs w:val="24"/>
        </w:rPr>
        <w:t>G</w:t>
      </w:r>
      <w:r>
        <w:rPr>
          <w:rFonts w:hint="default" w:ascii="Times New Roman" w:hAnsi="Times New Roman" w:cs="Times New Roman"/>
          <w:sz w:val="24"/>
          <w:szCs w:val="24"/>
        </w:rPr>
        <w:t>roup achieved a revenue of 5</w:t>
      </w:r>
      <w:r>
        <w:rPr>
          <w:rFonts w:hint="default" w:ascii="Times New Roman" w:hAnsi="Times New Roman" w:cs="Times New Roman"/>
          <w:sz w:val="24"/>
          <w:szCs w:val="24"/>
        </w:rPr>
        <w:t>1</w:t>
      </w:r>
      <w:r>
        <w:rPr>
          <w:rFonts w:hint="default" w:ascii="Times New Roman" w:hAnsi="Times New Roman" w:cs="Times New Roman"/>
          <w:sz w:val="24"/>
          <w:szCs w:val="24"/>
        </w:rPr>
        <w:t>.</w:t>
      </w:r>
      <w:r>
        <w:rPr>
          <w:rFonts w:hint="default" w:ascii="Times New Roman" w:hAnsi="Times New Roman" w:cs="Times New Roman"/>
          <w:sz w:val="24"/>
          <w:szCs w:val="24"/>
        </w:rPr>
        <w:t>2</w:t>
      </w:r>
      <w:r>
        <w:rPr>
          <w:rFonts w:hint="default" w:ascii="Times New Roman" w:hAnsi="Times New Roman" w:cs="Times New Roman"/>
          <w:sz w:val="24"/>
          <w:szCs w:val="24"/>
        </w:rPr>
        <w:t xml:space="preserve"> billion </w:t>
      </w:r>
      <w:r>
        <w:rPr>
          <w:rFonts w:hint="default" w:ascii="Times New Roman" w:hAnsi="Times New Roman" w:cs="Times New Roman"/>
          <w:sz w:val="24"/>
          <w:szCs w:val="24"/>
        </w:rPr>
        <w:t>yuan</w:t>
      </w:r>
      <w:r>
        <w:rPr>
          <w:rFonts w:hint="default" w:ascii="Times New Roman" w:hAnsi="Times New Roman" w:cs="Times New Roman"/>
          <w:sz w:val="24"/>
          <w:szCs w:val="24"/>
        </w:rPr>
        <w:t xml:space="preserve"> and a total profit of </w:t>
      </w:r>
      <w:r>
        <w:rPr>
          <w:rFonts w:hint="default" w:ascii="Times New Roman" w:hAnsi="Times New Roman" w:cs="Times New Roman"/>
          <w:sz w:val="24"/>
          <w:szCs w:val="24"/>
        </w:rPr>
        <w:t>11</w:t>
      </w:r>
      <w:r>
        <w:rPr>
          <w:rFonts w:hint="default" w:ascii="Times New Roman" w:hAnsi="Times New Roman" w:cs="Times New Roman"/>
          <w:sz w:val="24"/>
          <w:szCs w:val="24"/>
        </w:rPr>
        <w:t xml:space="preserve">.6 billion </w:t>
      </w:r>
      <w:r>
        <w:rPr>
          <w:rFonts w:hint="default" w:ascii="Times New Roman" w:hAnsi="Times New Roman" w:cs="Times New Roman"/>
          <w:sz w:val="24"/>
          <w:szCs w:val="24"/>
        </w:rPr>
        <w:t>yuan</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 </w:t>
      </w:r>
      <w:r>
        <w:rPr>
          <w:rFonts w:hint="default" w:ascii="Times New Roman" w:hAnsi="Times New Roman" w:cs="Times New Roman"/>
          <w:sz w:val="24"/>
          <w:szCs w:val="24"/>
        </w:rPr>
        <w:t>Group focuses on enhancing its core functions and improving core competitiveness and leverages the “three pivotal roles” of technological innovation, industrial governance, and safety support, fo</w:t>
      </w:r>
      <w:r>
        <w:rPr>
          <w:rFonts w:hint="default" w:ascii="Times New Roman" w:hAnsi="Times New Roman" w:cs="Times New Roman"/>
          <w:sz w:val="24"/>
          <w:szCs w:val="24"/>
        </w:rPr>
        <w:t>ster</w:t>
      </w:r>
      <w:r>
        <w:rPr>
          <w:rFonts w:hint="default" w:ascii="Times New Roman" w:hAnsi="Times New Roman" w:cs="Times New Roman"/>
          <w:sz w:val="24"/>
          <w:szCs w:val="24"/>
        </w:rPr>
        <w:t>ing three main business sectors: energy, finance, and strategic emerging industry investment. It has built a synergistic development paradigm driven by both energy and finance, with mutual promotion between industry and capital.</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In t</w:t>
      </w:r>
      <w:r>
        <w:rPr>
          <w:rFonts w:hint="default" w:ascii="Times New Roman" w:hAnsi="Times New Roman" w:cs="Times New Roman"/>
          <w:sz w:val="24"/>
          <w:szCs w:val="24"/>
        </w:rPr>
        <w:t>erms of</w:t>
      </w:r>
      <w:r>
        <w:rPr>
          <w:rFonts w:hint="default" w:ascii="Times New Roman" w:hAnsi="Times New Roman" w:cs="Times New Roman"/>
          <w:sz w:val="24"/>
          <w:szCs w:val="24"/>
        </w:rPr>
        <w:t xml:space="preserve"> energy, the</w:t>
      </w:r>
      <w:r>
        <w:rPr>
          <w:rFonts w:hint="default" w:ascii="Times New Roman" w:hAnsi="Times New Roman" w:cs="Times New Roman"/>
          <w:sz w:val="24"/>
          <w:szCs w:val="24"/>
        </w:rPr>
        <w:t xml:space="preserve"> Group p</w:t>
      </w:r>
      <w:r>
        <w:rPr>
          <w:rFonts w:hint="default" w:ascii="Times New Roman" w:hAnsi="Times New Roman" w:cs="Times New Roman"/>
          <w:sz w:val="24"/>
          <w:szCs w:val="24"/>
        </w:rPr>
        <w:t>lay</w:t>
      </w:r>
      <w:r>
        <w:rPr>
          <w:rFonts w:hint="default" w:ascii="Times New Roman" w:hAnsi="Times New Roman" w:cs="Times New Roman"/>
          <w:sz w:val="24"/>
          <w:szCs w:val="24"/>
        </w:rPr>
        <w:t>s</w:t>
      </w:r>
      <w:r>
        <w:rPr>
          <w:rFonts w:hint="default" w:ascii="Times New Roman" w:hAnsi="Times New Roman" w:cs="Times New Roman"/>
          <w:sz w:val="24"/>
          <w:szCs w:val="24"/>
        </w:rPr>
        <w:t xml:space="preserve"> a leading role in energy supply across the province. It has established a multi-energ</w:t>
      </w:r>
      <w:r>
        <w:rPr>
          <w:rFonts w:hint="default" w:ascii="Times New Roman" w:hAnsi="Times New Roman" w:cs="Times New Roman"/>
          <w:sz w:val="24"/>
          <w:szCs w:val="24"/>
        </w:rPr>
        <w:t>y</w:t>
      </w:r>
      <w:r>
        <w:rPr>
          <w:rFonts w:hint="default" w:ascii="Times New Roman" w:hAnsi="Times New Roman" w:cs="Times New Roman"/>
          <w:sz w:val="24"/>
          <w:szCs w:val="24"/>
        </w:rPr>
        <w:t xml:space="preserve"> system integrating wind, solar, hydro, thermal, natural gas, and energy storage. The </w:t>
      </w:r>
      <w:r>
        <w:rPr>
          <w:rFonts w:hint="default" w:ascii="Times New Roman" w:hAnsi="Times New Roman" w:cs="Times New Roman"/>
          <w:sz w:val="24"/>
          <w:szCs w:val="24"/>
        </w:rPr>
        <w:t>Group</w:t>
      </w:r>
      <w:r>
        <w:rPr>
          <w:rFonts w:hint="default" w:ascii="Times New Roman" w:hAnsi="Times New Roman" w:cs="Times New Roman"/>
          <w:sz w:val="24"/>
          <w:szCs w:val="24"/>
        </w:rPr>
        <w:t xml:space="preserve"> has an installed capacity of approximately 2</w:t>
      </w:r>
      <w:r>
        <w:rPr>
          <w:rFonts w:hint="default" w:ascii="Times New Roman" w:hAnsi="Times New Roman" w:cs="Times New Roman"/>
          <w:sz w:val="24"/>
          <w:szCs w:val="24"/>
        </w:rPr>
        <w:t>2</w:t>
      </w:r>
      <w:r>
        <w:rPr>
          <w:rFonts w:hint="default" w:ascii="Times New Roman" w:hAnsi="Times New Roman" w:cs="Times New Roman"/>
          <w:sz w:val="24"/>
          <w:szCs w:val="24"/>
        </w:rPr>
        <w:t>.</w:t>
      </w:r>
      <w:r>
        <w:rPr>
          <w:rFonts w:hint="default" w:ascii="Times New Roman" w:hAnsi="Times New Roman" w:cs="Times New Roman"/>
          <w:sz w:val="24"/>
          <w:szCs w:val="24"/>
        </w:rPr>
        <w:t>5</w:t>
      </w:r>
      <w:r>
        <w:rPr>
          <w:rFonts w:hint="default" w:ascii="Times New Roman" w:hAnsi="Times New Roman" w:cs="Times New Roman"/>
          <w:sz w:val="24"/>
          <w:szCs w:val="24"/>
        </w:rPr>
        <w:t xml:space="preserve"> million kW in its operational controlled projects and around 11 million kW in its </w:t>
      </w:r>
      <w:r>
        <w:rPr>
          <w:rFonts w:hint="default" w:ascii="Times New Roman" w:hAnsi="Times New Roman" w:cs="Times New Roman"/>
          <w:sz w:val="24"/>
          <w:szCs w:val="24"/>
        </w:rPr>
        <w:t xml:space="preserve">operational </w:t>
      </w:r>
      <w:r>
        <w:rPr>
          <w:rFonts w:hint="default" w:ascii="Times New Roman" w:hAnsi="Times New Roman" w:cs="Times New Roman"/>
          <w:sz w:val="24"/>
          <w:szCs w:val="24"/>
        </w:rPr>
        <w:t>equity projects. It has also approved and is constructing approximately 1</w:t>
      </w:r>
      <w:r>
        <w:rPr>
          <w:rFonts w:hint="default" w:ascii="Times New Roman" w:hAnsi="Times New Roman" w:cs="Times New Roman"/>
          <w:sz w:val="24"/>
          <w:szCs w:val="24"/>
        </w:rPr>
        <w:t>2</w:t>
      </w:r>
      <w:r>
        <w:rPr>
          <w:rFonts w:hint="default" w:ascii="Times New Roman" w:hAnsi="Times New Roman" w:cs="Times New Roman"/>
          <w:sz w:val="24"/>
          <w:szCs w:val="24"/>
        </w:rPr>
        <w:t>.</w:t>
      </w:r>
      <w:r>
        <w:rPr>
          <w:rFonts w:hint="default" w:ascii="Times New Roman" w:hAnsi="Times New Roman" w:cs="Times New Roman"/>
          <w:sz w:val="24"/>
          <w:szCs w:val="24"/>
        </w:rPr>
        <w:t>7</w:t>
      </w:r>
      <w:r>
        <w:rPr>
          <w:rFonts w:hint="default" w:ascii="Times New Roman" w:hAnsi="Times New Roman" w:cs="Times New Roman"/>
          <w:sz w:val="24"/>
          <w:szCs w:val="24"/>
        </w:rPr>
        <w:t xml:space="preserve"> million kW of additional capacity. Furthermore, </w:t>
      </w:r>
      <w:r>
        <w:rPr>
          <w:rFonts w:hint="default" w:ascii="Times New Roman" w:hAnsi="Times New Roman" w:cs="Times New Roman"/>
          <w:sz w:val="24"/>
          <w:szCs w:val="24"/>
        </w:rPr>
        <w:t>the</w:t>
      </w:r>
      <w:r>
        <w:rPr>
          <w:rFonts w:hint="default" w:ascii="Times New Roman" w:hAnsi="Times New Roman" w:cs="Times New Roman"/>
          <w:sz w:val="24"/>
          <w:szCs w:val="24"/>
        </w:rPr>
        <w:t xml:space="preserve"> Group has built a</w:t>
      </w:r>
      <w:r>
        <w:rPr>
          <w:rFonts w:hint="default" w:ascii="Times New Roman" w:hAnsi="Times New Roman" w:cs="Times New Roman"/>
          <w:sz w:val="24"/>
          <w:szCs w:val="24"/>
        </w:rPr>
        <w:t>n</w:t>
      </w:r>
      <w:r>
        <w:rPr>
          <w:rFonts w:hint="default" w:ascii="Times New Roman" w:hAnsi="Times New Roman" w:cs="Times New Roman"/>
          <w:sz w:val="24"/>
          <w:szCs w:val="24"/>
        </w:rPr>
        <w:t xml:space="preserve"> energy base in Shanxi </w:t>
      </w:r>
      <w:r>
        <w:rPr>
          <w:rFonts w:hint="default" w:ascii="Times New Roman" w:hAnsi="Times New Roman" w:cs="Times New Roman"/>
          <w:sz w:val="24"/>
          <w:szCs w:val="24"/>
        </w:rPr>
        <w:t>P</w:t>
      </w:r>
      <w:r>
        <w:rPr>
          <w:rFonts w:hint="default" w:ascii="Times New Roman" w:hAnsi="Times New Roman" w:cs="Times New Roman"/>
          <w:sz w:val="24"/>
          <w:szCs w:val="24"/>
        </w:rPr>
        <w:t xml:space="preserve">rovince (Jiangsu’s largest external energy project), with a total installed capacity of 3.96 million kW, providing around 20 billion kWh of electricity annually to Jiangsu. The </w:t>
      </w:r>
      <w:r>
        <w:rPr>
          <w:rFonts w:hint="default" w:ascii="Times New Roman" w:hAnsi="Times New Roman" w:cs="Times New Roman"/>
          <w:sz w:val="24"/>
          <w:szCs w:val="24"/>
        </w:rPr>
        <w:t>Group</w:t>
      </w:r>
      <w:r>
        <w:rPr>
          <w:rFonts w:hint="default" w:ascii="Times New Roman" w:hAnsi="Times New Roman" w:cs="Times New Roman"/>
          <w:sz w:val="24"/>
          <w:szCs w:val="24"/>
        </w:rPr>
        <w:t xml:space="preserve"> has put into operation over 520 kilometers of natural gas pipelines, and nearly 1,000 kilometers of </w:t>
      </w:r>
      <w:r>
        <w:rPr>
          <w:rFonts w:hint="default" w:ascii="Times New Roman" w:hAnsi="Times New Roman" w:cs="Times New Roman"/>
          <w:sz w:val="24"/>
          <w:szCs w:val="24"/>
        </w:rPr>
        <w:t xml:space="preserve">natural </w:t>
      </w:r>
      <w:r>
        <w:rPr>
          <w:rFonts w:hint="default" w:ascii="Times New Roman" w:hAnsi="Times New Roman" w:cs="Times New Roman"/>
          <w:sz w:val="24"/>
          <w:szCs w:val="24"/>
        </w:rPr>
        <w:t xml:space="preserve">gas pipelines are either approved or under construction. </w:t>
      </w:r>
      <w:r>
        <w:rPr>
          <w:rFonts w:hint="default" w:ascii="Times New Roman" w:hAnsi="Times New Roman" w:cs="Times New Roman"/>
          <w:sz w:val="24"/>
          <w:szCs w:val="24"/>
        </w:rPr>
        <w:t>Harnessing the power of</w:t>
      </w:r>
      <w:r>
        <w:rPr>
          <w:rFonts w:hint="default" w:ascii="Times New Roman" w:hAnsi="Times New Roman" w:cs="Times New Roman"/>
          <w:sz w:val="24"/>
          <w:szCs w:val="24"/>
        </w:rPr>
        <w:t xml:space="preserve"> the Guoxin Research Institute, it </w:t>
      </w:r>
      <w:r>
        <w:rPr>
          <w:rFonts w:hint="default" w:ascii="Times New Roman" w:hAnsi="Times New Roman" w:cs="Times New Roman"/>
          <w:sz w:val="24"/>
          <w:szCs w:val="24"/>
        </w:rPr>
        <w:t>explores</w:t>
      </w:r>
      <w:r>
        <w:rPr>
          <w:rFonts w:hint="default" w:ascii="Times New Roman" w:hAnsi="Times New Roman" w:cs="Times New Roman"/>
          <w:sz w:val="24"/>
          <w:szCs w:val="24"/>
        </w:rPr>
        <w:t xml:space="preserve"> core technologies for compressed air energy storage a</w:t>
      </w:r>
      <w:r>
        <w:rPr>
          <w:rFonts w:hint="default" w:ascii="Times New Roman" w:hAnsi="Times New Roman" w:cs="Times New Roman"/>
          <w:sz w:val="24"/>
          <w:szCs w:val="24"/>
        </w:rPr>
        <w:t>s well as</w:t>
      </w:r>
      <w:r>
        <w:rPr>
          <w:rFonts w:hint="default" w:ascii="Times New Roman" w:hAnsi="Times New Roman" w:cs="Times New Roman"/>
          <w:sz w:val="24"/>
          <w:szCs w:val="24"/>
        </w:rPr>
        <w:t xml:space="preserve"> the construction of zero-carbon industrial parks, striving to build next-generation energy systems.</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In </w:t>
      </w:r>
      <w:r>
        <w:rPr>
          <w:rFonts w:hint="default" w:ascii="Times New Roman" w:hAnsi="Times New Roman" w:cs="Times New Roman"/>
          <w:sz w:val="24"/>
          <w:szCs w:val="24"/>
        </w:rPr>
        <w:t>terms of</w:t>
      </w:r>
      <w:r>
        <w:rPr>
          <w:rFonts w:hint="default" w:ascii="Times New Roman" w:hAnsi="Times New Roman" w:cs="Times New Roman"/>
          <w:sz w:val="24"/>
          <w:szCs w:val="24"/>
        </w:rPr>
        <w:t xml:space="preserve"> financ</w:t>
      </w:r>
      <w:r>
        <w:rPr>
          <w:rFonts w:hint="default" w:ascii="Times New Roman" w:hAnsi="Times New Roman" w:cs="Times New Roman"/>
          <w:sz w:val="24"/>
          <w:szCs w:val="24"/>
        </w:rPr>
        <w:t>e</w:t>
      </w:r>
      <w:r>
        <w:rPr>
          <w:rFonts w:hint="default" w:ascii="Times New Roman" w:hAnsi="Times New Roman" w:cs="Times New Roman"/>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z w:val="24"/>
          <w:szCs w:val="24"/>
        </w:rPr>
        <w:t xml:space="preserve"> Group Limited owns various financial institutions, including a trust company, a finance company, a futures company, an insurance brokerage company, and a guarantee company. It also manages Li’an Life Insurance. Among these, the trust company ranks first in comprehensive competitiveness within the province and is top-tier nationally, with trust assets exceeding </w:t>
      </w:r>
      <w:r>
        <w:rPr>
          <w:rFonts w:hint="default" w:ascii="Times New Roman" w:hAnsi="Times New Roman" w:cs="Times New Roman"/>
          <w:sz w:val="24"/>
          <w:szCs w:val="24"/>
        </w:rPr>
        <w:t>60</w:t>
      </w:r>
      <w:r>
        <w:rPr>
          <w:rFonts w:hint="default" w:ascii="Times New Roman" w:hAnsi="Times New Roman" w:cs="Times New Roman"/>
          <w:sz w:val="24"/>
          <w:szCs w:val="24"/>
        </w:rPr>
        <w:t xml:space="preserve">0 billion </w:t>
      </w:r>
      <w:r>
        <w:rPr>
          <w:rFonts w:hint="default" w:ascii="Times New Roman" w:hAnsi="Times New Roman" w:cs="Times New Roman"/>
          <w:sz w:val="24"/>
          <w:szCs w:val="24"/>
        </w:rPr>
        <w:t>yuan</w:t>
      </w:r>
      <w:r>
        <w:rPr>
          <w:rFonts w:hint="default" w:ascii="Times New Roman" w:hAnsi="Times New Roman" w:cs="Times New Roman"/>
          <w:sz w:val="24"/>
          <w:szCs w:val="24"/>
        </w:rPr>
        <w:t xml:space="preserve">. Li’an Life Insurance ranks first among domestic life insurance companies in the province and has assets exceeding 120 billion </w:t>
      </w:r>
      <w:r>
        <w:rPr>
          <w:rFonts w:hint="default" w:ascii="Times New Roman" w:hAnsi="Times New Roman" w:cs="Times New Roman"/>
          <w:sz w:val="24"/>
          <w:szCs w:val="24"/>
        </w:rPr>
        <w:t>yuan</w:t>
      </w:r>
      <w:r>
        <w:rPr>
          <w:rFonts w:hint="default" w:ascii="Times New Roman" w:hAnsi="Times New Roman" w:cs="Times New Roman"/>
          <w:sz w:val="24"/>
          <w:szCs w:val="24"/>
        </w:rPr>
        <w:t xml:space="preserve">. In line with the strategy of strengthening the province’s financial sector, </w:t>
      </w:r>
      <w:r>
        <w:rPr>
          <w:rFonts w:hint="default" w:ascii="Times New Roman" w:hAnsi="Times New Roman" w:cs="Times New Roman"/>
          <w:sz w:val="24"/>
          <w:szCs w:val="24"/>
        </w:rPr>
        <w:t xml:space="preserve">the </w:t>
      </w:r>
      <w:r>
        <w:rPr>
          <w:rFonts w:hint="default" w:ascii="Times New Roman" w:hAnsi="Times New Roman" w:cs="Times New Roman"/>
          <w:sz w:val="24"/>
          <w:szCs w:val="24"/>
        </w:rPr>
        <w:t>Group has played a key role in the establishment of financial institutions such as Jiangsu Bank, Huatai Securities, and Zijin Insurance and remains the largest shareholder in each.</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highlight w:val="green"/>
        </w:rPr>
      </w:pPr>
      <w:r>
        <w:rPr>
          <w:rFonts w:hint="default" w:ascii="Times New Roman" w:hAnsi="Times New Roman" w:cs="Times New Roman"/>
          <w:sz w:val="24"/>
          <w:szCs w:val="24"/>
        </w:rPr>
        <w:t xml:space="preserve">In terms of strategic emerging industry investment, </w:t>
      </w:r>
      <w:r>
        <w:rPr>
          <w:rFonts w:hint="default" w:ascii="Times New Roman" w:hAnsi="Times New Roman" w:cs="Times New Roman"/>
          <w:sz w:val="24"/>
          <w:szCs w:val="24"/>
        </w:rPr>
        <w:t>the</w:t>
      </w:r>
      <w:r>
        <w:rPr>
          <w:rFonts w:hint="default" w:ascii="Times New Roman" w:hAnsi="Times New Roman" w:cs="Times New Roman"/>
          <w:sz w:val="24"/>
          <w:szCs w:val="24"/>
        </w:rPr>
        <w:t xml:space="preserve"> Group executes government-mandated</w:t>
      </w:r>
      <w:r>
        <w:rPr>
          <w:rFonts w:hint="default" w:ascii="Times New Roman" w:hAnsi="Times New Roman" w:cs="Times New Roman"/>
          <w:sz w:val="24"/>
          <w:szCs w:val="24"/>
        </w:rPr>
        <w:t xml:space="preserve"> programs and </w:t>
      </w:r>
      <w:r>
        <w:rPr>
          <w:rFonts w:hint="default" w:ascii="Times New Roman" w:hAnsi="Times New Roman" w:cs="Times New Roman"/>
          <w:sz w:val="24"/>
          <w:szCs w:val="24"/>
        </w:rPr>
        <w:t xml:space="preserve">takes the initiative to invest in energy-related </w:t>
      </w:r>
      <w:r>
        <w:rPr>
          <w:rFonts w:hint="default" w:ascii="Times New Roman" w:hAnsi="Times New Roman" w:cs="Times New Roman"/>
          <w:sz w:val="24"/>
          <w:szCs w:val="24"/>
        </w:rPr>
        <w:t>sector</w:t>
      </w:r>
      <w:r>
        <w:rPr>
          <w:rFonts w:hint="default" w:ascii="Times New Roman" w:hAnsi="Times New Roman" w:cs="Times New Roman"/>
          <w:sz w:val="24"/>
          <w:szCs w:val="24"/>
        </w:rPr>
        <w:t>s, contributing to Jiangsu’s efforts to build a modern industrial system.</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江苏省对外经贸股份有限公司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江苏省对外经贸股份有限公司成立于1984年，是江苏省苏豪控股集团有限公司的核心子企业，也是江苏省首家拥有进口经营权的省级外贸企业。历经四十年发展，公司在金属矿产、农林粮油、煤炭能源等领域已逐步构建了较为完整的全球供应链体系。近年来，公司主动将企业发展融入对接“一带一路”战略大局，持续深耕进出口贸易主业，加快国际化发展步伐，深化全球布局，已在海内外拥有5家子公司、2个办事处，市场覆盖60多个国家和地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公司将持续坚持全球化、国际化发展战略，围绕全产业链深化业务布局，持续完善上下游渠道建设，服务产业链客户。期盼与您携手，共同把握中亚市场机遇，拓展国际贸易合作空间。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Jiangsu Provincial Foreign Trade Corporation (JSFT), established in 1984, is a core subsidiary of Jiangsu Soho Holdings Group Co., Ltd. As the first provincial-level foreign trade enterprise in Jiangsu to be granted import rights, JSFT has, over the past four decades, built a robust global supply chain system spanning key sectors such as metal and mineral resources, agricultural and forestry products, grain and oil, as well as coal and energy. In recent years, JSFT has proactively aligned its development strategy with the Belt and Road Initiative, continuously strengthening its core import-export business, accelerating its internationalization expansion, and deepening its global presence. JSFT currently operates five subsidiaries and two representative offices both domestically and abroad, with its market footprint covering over 60 countries and regions.</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Upholding a strategy of globalization and internationalization, JSFT continues to strengthen its presence across the entire industrial value chain. Through the continuous optimization of upstream and downstream channels, the company is dedicated to providing integrated services for industry chain partners. We sincerely look forward to collaborating with you to jointly seize the emerging opportunities in Central Asia and further expand the space for international trade cooperation.</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江苏省苏豪控股集团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集团简介</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江苏省苏豪控股集团是江苏省属大型国有独资企业集团。2023年7月，</w:t>
      </w:r>
      <w:r>
        <w:rPr>
          <w:rFonts w:hint="default" w:ascii="Times New Roman" w:hAnsi="Times New Roman" w:eastAsia="仿宋_GB2312" w:cs="Times New Roman"/>
          <w:color w:val="231F20"/>
          <w:kern w:val="0"/>
          <w:sz w:val="24"/>
          <w:szCs w:val="24"/>
          <w:lang w:bidi="ar"/>
        </w:rPr>
        <w:t>经</w:t>
      </w:r>
      <w:r>
        <w:rPr>
          <w:rFonts w:hint="default" w:ascii="Times New Roman" w:hAnsi="Times New Roman" w:eastAsia="仿宋_GB2312" w:cs="Times New Roman"/>
          <w:color w:val="231F20"/>
          <w:kern w:val="0"/>
          <w:sz w:val="24"/>
          <w:szCs w:val="24"/>
          <w:lang w:bidi="ar"/>
        </w:rPr>
        <w:t>江苏省委、省政府研究决定，苏豪控股集团等5家省属大型国有企业重组整合，成立新的苏豪控股集团，这是江苏省属国企迄今涉及面最广、力度最大、最为系统完整的一次改革。重组整合后，苏豪控股集团旗下各级企业</w:t>
      </w:r>
      <w:r>
        <w:rPr>
          <w:rFonts w:hint="default" w:ascii="Times New Roman" w:hAnsi="Times New Roman" w:eastAsia="仿宋_GB2312" w:cs="Times New Roman"/>
          <w:color w:val="231F20"/>
          <w:kern w:val="0"/>
          <w:sz w:val="24"/>
          <w:szCs w:val="24"/>
          <w:lang w:bidi="ar"/>
        </w:rPr>
        <w:t>近400</w:t>
      </w:r>
      <w:r>
        <w:rPr>
          <w:rFonts w:hint="default" w:ascii="Times New Roman" w:hAnsi="Times New Roman" w:eastAsia="仿宋_GB2312" w:cs="Times New Roman"/>
          <w:color w:val="231F20"/>
          <w:kern w:val="0"/>
          <w:sz w:val="24"/>
          <w:szCs w:val="24"/>
          <w:lang w:bidi="ar"/>
        </w:rPr>
        <w:t>家，员工</w:t>
      </w:r>
      <w:r>
        <w:rPr>
          <w:rFonts w:hint="default" w:ascii="Times New Roman" w:hAnsi="Times New Roman" w:eastAsia="仿宋_GB2312" w:cs="Times New Roman"/>
          <w:color w:val="231F20"/>
          <w:kern w:val="0"/>
          <w:sz w:val="24"/>
          <w:szCs w:val="24"/>
          <w:lang w:bidi="ar"/>
        </w:rPr>
        <w:t>2.5</w:t>
      </w:r>
      <w:r>
        <w:rPr>
          <w:rFonts w:hint="default" w:ascii="Times New Roman" w:hAnsi="Times New Roman" w:eastAsia="仿宋_GB2312" w:cs="Times New Roman"/>
          <w:color w:val="231F20"/>
          <w:kern w:val="0"/>
          <w:sz w:val="24"/>
          <w:szCs w:val="24"/>
          <w:lang w:bidi="ar"/>
        </w:rPr>
        <w:t>万人，资产总额</w:t>
      </w:r>
      <w:r>
        <w:rPr>
          <w:rFonts w:hint="default" w:ascii="Times New Roman" w:hAnsi="Times New Roman" w:eastAsia="仿宋_GB2312" w:cs="Times New Roman"/>
          <w:color w:val="231F20"/>
          <w:kern w:val="0"/>
          <w:sz w:val="24"/>
          <w:szCs w:val="24"/>
          <w:lang w:bidi="ar"/>
        </w:rPr>
        <w:t>945亿元</w:t>
      </w:r>
      <w:r>
        <w:rPr>
          <w:rFonts w:hint="default" w:ascii="Times New Roman" w:hAnsi="Times New Roman" w:eastAsia="仿宋_GB2312" w:cs="Times New Roman"/>
          <w:color w:val="231F20"/>
          <w:kern w:val="0"/>
          <w:sz w:val="24"/>
          <w:szCs w:val="24"/>
          <w:lang w:bidi="ar"/>
        </w:rPr>
        <w:t>，净资产</w:t>
      </w:r>
      <w:r>
        <w:rPr>
          <w:rFonts w:hint="default" w:ascii="Times New Roman" w:hAnsi="Times New Roman" w:eastAsia="仿宋_GB2312" w:cs="Times New Roman"/>
          <w:color w:val="231F20"/>
          <w:kern w:val="0"/>
          <w:sz w:val="24"/>
          <w:szCs w:val="24"/>
          <w:lang w:bidi="ar"/>
        </w:rPr>
        <w:t>311亿元</w:t>
      </w:r>
      <w:r>
        <w:rPr>
          <w:rFonts w:hint="default" w:ascii="Times New Roman" w:hAnsi="Times New Roman" w:eastAsia="仿宋_GB2312" w:cs="Times New Roman"/>
          <w:color w:val="231F20"/>
          <w:kern w:val="0"/>
          <w:sz w:val="24"/>
          <w:szCs w:val="24"/>
          <w:lang w:bidi="ar"/>
        </w:rPr>
        <w:t>，营业收入</w:t>
      </w:r>
      <w:r>
        <w:rPr>
          <w:rFonts w:hint="default" w:ascii="Times New Roman" w:hAnsi="Times New Roman" w:eastAsia="仿宋_GB2312" w:cs="Times New Roman"/>
          <w:color w:val="231F20"/>
          <w:kern w:val="0"/>
          <w:sz w:val="24"/>
          <w:szCs w:val="24"/>
          <w:lang w:bidi="ar"/>
        </w:rPr>
        <w:t>超1300亿元</w:t>
      </w:r>
      <w:r>
        <w:rPr>
          <w:rFonts w:hint="default" w:ascii="Times New Roman" w:hAnsi="Times New Roman" w:eastAsia="仿宋_GB2312" w:cs="Times New Roman"/>
          <w:color w:val="231F20"/>
          <w:kern w:val="0"/>
          <w:sz w:val="24"/>
          <w:szCs w:val="24"/>
          <w:lang w:bidi="ar"/>
        </w:rPr>
        <w:t>，营收规模在江苏省国资委监管企业中位列第一。</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江苏省委、省政府赋予苏豪的使命任务是：力争用3-5年时间，将集团打造成为核心功能突出，竞争优势明显，具有江苏品牌特色，能够更好服务重大战略，服务江苏实体经济发展及产业链、供应链安全稳定的世界一流企业。苏豪确立了贸易和金融两大主业，结合自身企业特点，以纺织服装业务为基本盘、以大宗商品业务为重要抓手、以新业态新模式为新动能，着力在大宗贸易和物资储备、国际化经营、纺织服装品牌建设、商贸物流保障、智能制造创新、以融促产投资六个板块推动高质量发展，加快建设世界一流企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黑体" w:cs="Times New Roman"/>
          <w:sz w:val="24"/>
          <w:szCs w:val="24"/>
        </w:rPr>
        <w:t>贸易主业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苏豪与160多个国家和地区建立广泛的经贸关系，202</w:t>
      </w:r>
      <w:r>
        <w:rPr>
          <w:rFonts w:hint="default" w:ascii="Times New Roman" w:hAnsi="Times New Roman" w:eastAsia="仿宋_GB2312" w:cs="Times New Roman"/>
          <w:color w:val="231F20"/>
          <w:kern w:val="0"/>
          <w:sz w:val="24"/>
          <w:szCs w:val="24"/>
          <w:lang w:bidi="ar"/>
        </w:rPr>
        <w:t>4</w:t>
      </w:r>
      <w:r>
        <w:rPr>
          <w:rFonts w:hint="default" w:ascii="Times New Roman" w:hAnsi="Times New Roman" w:eastAsia="仿宋_GB2312" w:cs="Times New Roman"/>
          <w:color w:val="231F20"/>
          <w:kern w:val="0"/>
          <w:sz w:val="24"/>
          <w:szCs w:val="24"/>
          <w:lang w:bidi="ar"/>
        </w:rPr>
        <w:t>年进出口总额11</w:t>
      </w:r>
      <w:r>
        <w:rPr>
          <w:rFonts w:hint="default" w:ascii="Times New Roman" w:hAnsi="Times New Roman" w:eastAsia="仿宋_GB2312" w:cs="Times New Roman"/>
          <w:color w:val="231F20"/>
          <w:kern w:val="0"/>
          <w:sz w:val="24"/>
          <w:szCs w:val="24"/>
          <w:lang w:bidi="ar"/>
        </w:rPr>
        <w:t>7</w:t>
      </w:r>
      <w:r>
        <w:rPr>
          <w:rFonts w:hint="default" w:ascii="Times New Roman" w:hAnsi="Times New Roman" w:eastAsia="仿宋_GB2312" w:cs="Times New Roman"/>
          <w:color w:val="231F20"/>
          <w:kern w:val="0"/>
          <w:sz w:val="24"/>
          <w:szCs w:val="24"/>
          <w:lang w:bidi="ar"/>
        </w:rPr>
        <w:t>亿美元，位于全国同类企业前列。苏豪获批江苏省首批内外贸一体化试点企业，坚持服务“双循环”大局，拓展国内国际两个市场、两种资源，进出口商品包含能源矿产、纺织服装、机电设备、医药化工、粮油食品等丰富的品类。苏豪现有</w:t>
      </w:r>
      <w:r>
        <w:rPr>
          <w:rFonts w:hint="default" w:ascii="Times New Roman" w:hAnsi="Times New Roman" w:eastAsia="仿宋_GB2312" w:cs="Times New Roman"/>
          <w:color w:val="231F20"/>
          <w:kern w:val="0"/>
          <w:sz w:val="24"/>
          <w:szCs w:val="24"/>
          <w:lang w:bidi="ar"/>
        </w:rPr>
        <w:t>80多</w:t>
      </w:r>
      <w:r>
        <w:rPr>
          <w:rFonts w:hint="default" w:ascii="Times New Roman" w:hAnsi="Times New Roman" w:eastAsia="仿宋_GB2312" w:cs="Times New Roman"/>
          <w:color w:val="231F20"/>
          <w:kern w:val="0"/>
          <w:sz w:val="24"/>
          <w:szCs w:val="24"/>
          <w:lang w:bidi="ar"/>
        </w:rPr>
        <w:t>家境外企业或机构，在欧洲、东南亚、非洲多地建立了海外生产基地</w:t>
      </w:r>
      <w:r>
        <w:rPr>
          <w:rFonts w:hint="default" w:ascii="Times New Roman" w:hAnsi="Times New Roman" w:eastAsia="仿宋_GB2312" w:cs="Times New Roman"/>
          <w:color w:val="231F20"/>
          <w:kern w:val="0"/>
          <w:sz w:val="24"/>
          <w:szCs w:val="24"/>
          <w:lang w:bidi="ar"/>
        </w:rPr>
        <w:t>、</w:t>
      </w:r>
      <w:r>
        <w:rPr>
          <w:rFonts w:hint="default" w:ascii="Times New Roman" w:hAnsi="Times New Roman" w:eastAsia="仿宋_GB2312" w:cs="Times New Roman"/>
          <w:color w:val="231F20"/>
          <w:kern w:val="0"/>
          <w:sz w:val="24"/>
          <w:szCs w:val="24"/>
          <w:lang w:bidi="ar"/>
        </w:rPr>
        <w:t>海外仓或办事机构</w:t>
      </w:r>
      <w:r>
        <w:rPr>
          <w:rFonts w:hint="default" w:ascii="Times New Roman" w:hAnsi="Times New Roman" w:eastAsia="仿宋_GB2312" w:cs="Times New Roman"/>
          <w:color w:val="231F20"/>
          <w:kern w:val="0"/>
          <w:sz w:val="24"/>
          <w:szCs w:val="24"/>
          <w:lang w:bidi="ar"/>
        </w:rPr>
        <w:t>；</w:t>
      </w:r>
      <w:r>
        <w:rPr>
          <w:rFonts w:hint="default" w:ascii="Times New Roman" w:hAnsi="Times New Roman" w:eastAsia="仿宋_GB2312" w:cs="Times New Roman"/>
          <w:color w:val="231F20"/>
          <w:kern w:val="0"/>
          <w:sz w:val="24"/>
          <w:szCs w:val="24"/>
          <w:lang w:bidi="ar"/>
        </w:rPr>
        <w:t>建设</w:t>
      </w:r>
      <w:r>
        <w:rPr>
          <w:rFonts w:hint="default" w:ascii="Times New Roman" w:hAnsi="Times New Roman" w:eastAsia="仿宋_GB2312" w:cs="Times New Roman"/>
          <w:color w:val="231F20"/>
          <w:kern w:val="0"/>
          <w:sz w:val="24"/>
          <w:szCs w:val="24"/>
          <w:lang w:bidi="ar"/>
        </w:rPr>
        <w:t>运营“中国—中亚贸易畅通合作平台”</w:t>
      </w:r>
      <w:r>
        <w:rPr>
          <w:rFonts w:hint="default" w:ascii="Times New Roman" w:hAnsi="Times New Roman" w:eastAsia="仿宋_GB2312" w:cs="Times New Roman"/>
          <w:color w:val="231F20"/>
          <w:kern w:val="0"/>
          <w:sz w:val="24"/>
          <w:szCs w:val="24"/>
          <w:lang w:bidi="ar"/>
        </w:rPr>
        <w:t>“</w:t>
      </w:r>
      <w:r>
        <w:rPr>
          <w:rFonts w:hint="default" w:ascii="Times New Roman" w:hAnsi="Times New Roman" w:eastAsia="仿宋_GB2312" w:cs="Times New Roman"/>
          <w:kern w:val="0"/>
          <w:sz w:val="24"/>
          <w:szCs w:val="24"/>
          <w:lang w:bidi="ar"/>
        </w:rPr>
        <w:t>中亚江苏中心</w:t>
      </w:r>
      <w:r>
        <w:rPr>
          <w:rFonts w:hint="default" w:ascii="Times New Roman" w:hAnsi="Times New Roman" w:eastAsia="仿宋_GB2312" w:cs="Times New Roman"/>
          <w:color w:val="231F20"/>
          <w:kern w:val="0"/>
          <w:sz w:val="24"/>
          <w:szCs w:val="24"/>
          <w:lang w:bidi="ar"/>
        </w:rPr>
        <w:t>”</w:t>
      </w:r>
      <w:r>
        <w:rPr>
          <w:rFonts w:hint="default" w:ascii="Times New Roman" w:hAnsi="Times New Roman" w:eastAsia="仿宋_GB2312" w:cs="Times New Roman"/>
          <w:color w:val="231F20"/>
          <w:kern w:val="0"/>
          <w:sz w:val="24"/>
          <w:szCs w:val="24"/>
          <w:lang w:bidi="ar"/>
        </w:rPr>
        <w:t>等载体</w:t>
      </w:r>
      <w:r>
        <w:rPr>
          <w:rFonts w:hint="default" w:ascii="Times New Roman" w:hAnsi="Times New Roman" w:eastAsia="仿宋_GB2312" w:cs="Times New Roman"/>
          <w:color w:val="231F20"/>
          <w:kern w:val="0"/>
          <w:sz w:val="24"/>
          <w:szCs w:val="24"/>
          <w:lang w:bidi="ar"/>
        </w:rPr>
        <w:t>。苏豪统筹运营江苏省中欧（亚）班列，目前已稳定开行班列线路2</w:t>
      </w:r>
      <w:r>
        <w:rPr>
          <w:rFonts w:hint="default" w:ascii="Times New Roman" w:hAnsi="Times New Roman" w:eastAsia="仿宋_GB2312" w:cs="Times New Roman"/>
          <w:color w:val="231F20"/>
          <w:kern w:val="0"/>
          <w:sz w:val="24"/>
          <w:szCs w:val="24"/>
          <w:lang w:bidi="ar"/>
        </w:rPr>
        <w:t>5</w:t>
      </w:r>
      <w:r>
        <w:rPr>
          <w:rFonts w:hint="default" w:ascii="Times New Roman" w:hAnsi="Times New Roman" w:eastAsia="仿宋_GB2312" w:cs="Times New Roman"/>
          <w:color w:val="231F20"/>
          <w:kern w:val="0"/>
          <w:sz w:val="24"/>
          <w:szCs w:val="24"/>
          <w:lang w:bidi="ar"/>
        </w:rPr>
        <w:t>条，覆盖欧亚26个国家、近80个国际站点，202</w:t>
      </w:r>
      <w:r>
        <w:rPr>
          <w:rFonts w:hint="default" w:ascii="Times New Roman" w:hAnsi="Times New Roman" w:eastAsia="仿宋_GB2312" w:cs="Times New Roman"/>
          <w:color w:val="231F20"/>
          <w:kern w:val="0"/>
          <w:sz w:val="24"/>
          <w:szCs w:val="24"/>
          <w:lang w:bidi="ar"/>
        </w:rPr>
        <w:t>4</w:t>
      </w:r>
      <w:r>
        <w:rPr>
          <w:rFonts w:hint="default" w:ascii="Times New Roman" w:hAnsi="Times New Roman" w:eastAsia="仿宋_GB2312" w:cs="Times New Roman"/>
          <w:color w:val="231F20"/>
          <w:kern w:val="0"/>
          <w:sz w:val="24"/>
          <w:szCs w:val="24"/>
          <w:lang w:bidi="ar"/>
        </w:rPr>
        <w:t>年开行</w:t>
      </w:r>
      <w:r>
        <w:rPr>
          <w:rFonts w:hint="default" w:ascii="Times New Roman" w:hAnsi="Times New Roman" w:eastAsia="仿宋_GB2312" w:cs="Times New Roman"/>
          <w:color w:val="231F20"/>
          <w:kern w:val="0"/>
          <w:sz w:val="24"/>
          <w:szCs w:val="24"/>
          <w:lang w:bidi="ar"/>
        </w:rPr>
        <w:t>2286</w:t>
      </w:r>
      <w:r>
        <w:rPr>
          <w:rFonts w:hint="default" w:ascii="Times New Roman" w:hAnsi="Times New Roman" w:eastAsia="仿宋_GB2312" w:cs="Times New Roman"/>
          <w:color w:val="231F20"/>
          <w:kern w:val="0"/>
          <w:sz w:val="24"/>
          <w:szCs w:val="24"/>
          <w:lang w:bidi="ar"/>
        </w:rPr>
        <w:t>列，有力推动与“一带一路”沿线国家和地区的经贸合作。</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金融主业</w:t>
      </w:r>
    </w:p>
    <w:p>
      <w:pPr>
        <w:keepNext w:val="0"/>
        <w:keepLines w:val="0"/>
        <w:pageBreakBefore w:val="0"/>
        <w:tabs>
          <w:tab w:val="left" w:pos="1362"/>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苏豪坚持金融服务实体，是数家金融机构的重要股东，覆盖证券、银行、信托、保险等主要金融业态。苏豪拥有境内、外重要业务牌照，为产业链上下游提供多维度、特色化的交易平台与金融服务，服务江苏在“一带一路”沿线国家的贸易和投资需求。苏豪控股境内外</w:t>
      </w:r>
      <w:r>
        <w:rPr>
          <w:rFonts w:hint="default" w:ascii="Times New Roman" w:hAnsi="Times New Roman" w:eastAsia="仿宋_GB2312" w:cs="Times New Roman"/>
          <w:color w:val="231F20"/>
          <w:kern w:val="0"/>
          <w:sz w:val="24"/>
          <w:szCs w:val="24"/>
          <w:lang w:bidi="ar"/>
        </w:rPr>
        <w:t>5</w:t>
      </w:r>
      <w:r>
        <w:rPr>
          <w:rFonts w:hint="default" w:ascii="Times New Roman" w:hAnsi="Times New Roman" w:eastAsia="仿宋_GB2312" w:cs="Times New Roman"/>
          <w:color w:val="231F20"/>
          <w:kern w:val="0"/>
          <w:sz w:val="24"/>
          <w:szCs w:val="24"/>
          <w:lang w:bidi="ar"/>
        </w:rPr>
        <w:t>家上市公司，其中，</w:t>
      </w:r>
      <w:r>
        <w:rPr>
          <w:rFonts w:hint="default" w:ascii="Times New Roman" w:hAnsi="Times New Roman" w:eastAsia="仿宋_GB2312" w:cs="Times New Roman"/>
          <w:color w:val="231F20"/>
          <w:kern w:val="0"/>
          <w:sz w:val="24"/>
          <w:szCs w:val="24"/>
          <w:lang w:bidi="ar"/>
        </w:rPr>
        <w:t>苏豪</w:t>
      </w:r>
      <w:r>
        <w:rPr>
          <w:rFonts w:hint="default" w:ascii="Times New Roman" w:hAnsi="Times New Roman" w:eastAsia="仿宋_GB2312" w:cs="Times New Roman"/>
          <w:color w:val="231F20"/>
          <w:kern w:val="0"/>
          <w:sz w:val="24"/>
          <w:szCs w:val="24"/>
          <w:lang w:bidi="ar"/>
        </w:rPr>
        <w:t>汇鸿是全国首批、省内第一家整体上市的国有企业，</w:t>
      </w:r>
      <w:r>
        <w:rPr>
          <w:rFonts w:hint="default" w:ascii="Times New Roman" w:hAnsi="Times New Roman" w:eastAsia="仿宋_GB2312" w:cs="Times New Roman"/>
          <w:color w:val="231F20"/>
          <w:kern w:val="0"/>
          <w:sz w:val="24"/>
          <w:szCs w:val="24"/>
          <w:lang w:bidi="ar"/>
        </w:rPr>
        <w:t>苏豪时尚</w:t>
      </w:r>
      <w:r>
        <w:rPr>
          <w:rFonts w:hint="default" w:ascii="Times New Roman" w:hAnsi="Times New Roman" w:eastAsia="仿宋_GB2312" w:cs="Times New Roman"/>
          <w:color w:val="231F20"/>
          <w:kern w:val="0"/>
          <w:sz w:val="24"/>
          <w:szCs w:val="24"/>
          <w:lang w:bidi="ar"/>
        </w:rPr>
        <w:t>是具备完整产业链一体化服务功能的全省服装贸易龙头企业，苏豪弘业是全省外贸行业第一家上市公司，弘业期货是国内期货业第一家A+H股上市公司</w:t>
      </w:r>
      <w:r>
        <w:rPr>
          <w:rFonts w:hint="default" w:ascii="Times New Roman" w:hAnsi="Times New Roman" w:eastAsia="仿宋_GB2312" w:cs="Times New Roman"/>
          <w:color w:val="231F20"/>
          <w:kern w:val="0"/>
          <w:sz w:val="24"/>
          <w:szCs w:val="24"/>
          <w:lang w:bidi="ar"/>
        </w:rPr>
        <w:t>，通用股份是深耕轮胎研发制造领域的高新技术企业</w:t>
      </w:r>
      <w:r>
        <w:rPr>
          <w:rFonts w:hint="default" w:ascii="Times New Roman" w:hAnsi="Times New Roman" w:eastAsia="仿宋_GB2312" w:cs="Times New Roman"/>
          <w:color w:val="231F20"/>
          <w:kern w:val="0"/>
          <w:sz w:val="24"/>
          <w:szCs w:val="24"/>
          <w:lang w:bidi="ar"/>
        </w:rPr>
        <w:t>。</w:t>
      </w:r>
    </w:p>
    <w:p>
      <w:pPr>
        <w:keepNext w:val="0"/>
        <w:keepLines w:val="0"/>
        <w:pageBreakBefore w:val="0"/>
        <w:tabs>
          <w:tab w:val="left" w:pos="1362"/>
        </w:tabs>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黑体" w:cs="Times New Roman"/>
          <w:sz w:val="24"/>
          <w:szCs w:val="24"/>
        </w:rPr>
      </w:pPr>
      <w:r>
        <w:rPr>
          <w:rFonts w:hint="default" w:ascii="Times New Roman" w:hAnsi="Times New Roman" w:eastAsia="仿宋_GB2312" w:cs="Times New Roman"/>
          <w:color w:val="231F20"/>
          <w:kern w:val="0"/>
          <w:sz w:val="24"/>
          <w:szCs w:val="24"/>
          <w:lang w:bidi="ar"/>
        </w:rPr>
        <w:t>Jiangsu SOHO</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OVERVIEW</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Jiangsu SOHO Holdings Group is a large provincial-level, wholly state-owned enterprise group in Jiangsu Province. In July</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 xml:space="preserve">2023, after deliberation by the Jiangsu Provincial </w:t>
      </w:r>
      <w:r>
        <w:rPr>
          <w:rFonts w:hint="default" w:ascii="Times New Roman" w:hAnsi="Times New Roman" w:eastAsia="仿宋_GB2312" w:cs="Times New Roman"/>
          <w:color w:val="231F20"/>
          <w:kern w:val="0"/>
          <w:sz w:val="24"/>
          <w:szCs w:val="24"/>
          <w:lang w:bidi="ar"/>
        </w:rPr>
        <w:t xml:space="preserve">Party </w:t>
      </w:r>
      <w:r>
        <w:rPr>
          <w:rFonts w:hint="default" w:ascii="Times New Roman" w:hAnsi="Times New Roman" w:eastAsia="仿宋_GB2312" w:cs="Times New Roman"/>
          <w:color w:val="231F20"/>
          <w:kern w:val="0"/>
          <w:sz w:val="24"/>
          <w:szCs w:val="24"/>
          <w:lang w:bidi="ar"/>
        </w:rPr>
        <w:t>Committee and Provincial</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 xml:space="preserve">Government, SOHO Holdings Group and four other major provincial state-owned enterprises were reorganized and integrated to form the new SOHO Holdings Group. This represents the most extensive, </w:t>
      </w:r>
      <w:r>
        <w:rPr>
          <w:rFonts w:hint="default" w:ascii="Times New Roman" w:hAnsi="Times New Roman" w:eastAsia="仿宋_GB2312" w:cs="Times New Roman"/>
          <w:color w:val="231F20"/>
          <w:kern w:val="0"/>
          <w:sz w:val="24"/>
          <w:szCs w:val="24"/>
          <w:lang w:bidi="ar"/>
        </w:rPr>
        <w:t>impactful</w:t>
      </w:r>
      <w:r>
        <w:rPr>
          <w:rFonts w:hint="default" w:ascii="Times New Roman" w:hAnsi="Times New Roman" w:eastAsia="仿宋_GB2312" w:cs="Times New Roman"/>
          <w:color w:val="231F20"/>
          <w:kern w:val="0"/>
          <w:sz w:val="24"/>
          <w:szCs w:val="24"/>
          <w:lang w:bidi="ar"/>
        </w:rPr>
        <w:t xml:space="preserve">, and systematically reform of provincial state-owned enterprises in Jiangsu to date. After the reorganization and integration, SOHO Holdings Group encompasses </w:t>
      </w:r>
      <w:r>
        <w:rPr>
          <w:rFonts w:hint="default" w:ascii="Times New Roman" w:hAnsi="Times New Roman" w:eastAsia="仿宋_GB2312" w:cs="Times New Roman"/>
          <w:color w:val="231F20"/>
          <w:kern w:val="0"/>
          <w:sz w:val="24"/>
          <w:szCs w:val="24"/>
          <w:lang w:bidi="ar"/>
        </w:rPr>
        <w:t>nearly 400</w:t>
      </w:r>
      <w:r>
        <w:rPr>
          <w:rFonts w:hint="default" w:ascii="Times New Roman" w:hAnsi="Times New Roman" w:eastAsia="仿宋_GB2312" w:cs="Times New Roman"/>
          <w:color w:val="231F20"/>
          <w:kern w:val="0"/>
          <w:sz w:val="24"/>
          <w:szCs w:val="24"/>
          <w:lang w:bidi="ar"/>
        </w:rPr>
        <w:t xml:space="preserve"> subsidiary enterprises, with 2</w:t>
      </w:r>
      <w:r>
        <w:rPr>
          <w:rFonts w:hint="default" w:ascii="Times New Roman" w:hAnsi="Times New Roman" w:eastAsia="仿宋_GB2312" w:cs="Times New Roman"/>
          <w:color w:val="231F20"/>
          <w:kern w:val="0"/>
          <w:sz w:val="24"/>
          <w:szCs w:val="24"/>
          <w:lang w:bidi="ar"/>
        </w:rPr>
        <w:t>5</w:t>
      </w:r>
      <w:r>
        <w:rPr>
          <w:rFonts w:hint="default" w:ascii="Times New Roman" w:hAnsi="Times New Roman" w:eastAsia="仿宋_GB2312" w:cs="Times New Roman"/>
          <w:color w:val="231F20"/>
          <w:kern w:val="0"/>
          <w:sz w:val="24"/>
          <w:szCs w:val="24"/>
          <w:lang w:bidi="ar"/>
        </w:rPr>
        <w:t xml:space="preserve">,000 employees, </w:t>
      </w:r>
      <w:r>
        <w:rPr>
          <w:rFonts w:hint="default" w:ascii="Times New Roman" w:hAnsi="Times New Roman" w:eastAsia="仿宋_GB2312" w:cs="Times New Roman"/>
          <w:color w:val="231F20"/>
          <w:kern w:val="0"/>
          <w:sz w:val="24"/>
          <w:szCs w:val="24"/>
          <w:lang w:bidi="ar"/>
        </w:rPr>
        <w:t xml:space="preserve">and holds total assets of 13.2 billion USD, net assets of 4.4 billion USD, and an annual revenue of 18.2 billion USD. This makes </w:t>
      </w:r>
      <w:r>
        <w:rPr>
          <w:rFonts w:hint="default" w:ascii="Times New Roman" w:hAnsi="Times New Roman" w:eastAsia="仿宋_GB2312" w:cs="Times New Roman"/>
          <w:color w:val="231F20"/>
          <w:kern w:val="0"/>
          <w:sz w:val="24"/>
          <w:szCs w:val="24"/>
          <w:lang w:bidi="ar"/>
        </w:rPr>
        <w:t xml:space="preserve">it the largest </w:t>
      </w:r>
      <w:r>
        <w:rPr>
          <w:rFonts w:hint="default" w:ascii="Times New Roman" w:hAnsi="Times New Roman" w:eastAsia="仿宋_GB2312" w:cs="Times New Roman"/>
          <w:color w:val="231F20"/>
          <w:kern w:val="0"/>
          <w:sz w:val="24"/>
          <w:szCs w:val="24"/>
          <w:lang w:bidi="ar"/>
        </w:rPr>
        <w:t xml:space="preserve">enterprise </w:t>
      </w:r>
      <w:r>
        <w:rPr>
          <w:rFonts w:hint="default" w:ascii="Times New Roman" w:hAnsi="Times New Roman" w:eastAsia="仿宋_GB2312" w:cs="Times New Roman"/>
          <w:color w:val="231F20"/>
          <w:kern w:val="0"/>
          <w:sz w:val="24"/>
          <w:szCs w:val="24"/>
          <w:lang w:bidi="ar"/>
        </w:rPr>
        <w:t xml:space="preserve">in terms of revenue scale among </w:t>
      </w:r>
      <w:r>
        <w:rPr>
          <w:rFonts w:hint="default" w:ascii="Times New Roman" w:hAnsi="Times New Roman" w:eastAsia="仿宋_GB2312" w:cs="Times New Roman"/>
          <w:color w:val="231F20"/>
          <w:kern w:val="0"/>
          <w:sz w:val="24"/>
          <w:szCs w:val="24"/>
          <w:lang w:bidi="ar"/>
        </w:rPr>
        <w:t>those</w:t>
      </w:r>
      <w:r>
        <w:rPr>
          <w:rFonts w:hint="default" w:ascii="Times New Roman" w:hAnsi="Times New Roman" w:eastAsia="仿宋_GB2312" w:cs="Times New Roman"/>
          <w:color w:val="231F20"/>
          <w:kern w:val="0"/>
          <w:sz w:val="24"/>
          <w:szCs w:val="24"/>
          <w:lang w:bidi="ar"/>
        </w:rPr>
        <w:t xml:space="preserve"> supervised by Jiangsu </w:t>
      </w:r>
      <w:r>
        <w:rPr>
          <w:rFonts w:hint="default" w:ascii="Times New Roman" w:hAnsi="Times New Roman" w:eastAsia="仿宋_GB2312" w:cs="Times New Roman"/>
          <w:color w:val="231F20"/>
          <w:kern w:val="0"/>
          <w:sz w:val="24"/>
          <w:szCs w:val="24"/>
          <w:lang w:bidi="ar"/>
        </w:rPr>
        <w:t>Provincial SASAC (</w:t>
      </w:r>
      <w:r>
        <w:rPr>
          <w:rFonts w:hint="default" w:ascii="Times New Roman" w:hAnsi="Times New Roman" w:eastAsia="仿宋_GB2312" w:cs="Times New Roman"/>
          <w:color w:val="231F20"/>
          <w:kern w:val="0"/>
          <w:sz w:val="24"/>
          <w:szCs w:val="24"/>
          <w:lang w:bidi="ar"/>
        </w:rPr>
        <w:t>State-owned</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Assets</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Supervision and Administration Commission</w:t>
      </w:r>
      <w:r>
        <w:rPr>
          <w:rFonts w:hint="default" w:ascii="Times New Roman" w:hAnsi="Times New Roman" w:eastAsia="仿宋_GB2312" w:cs="Times New Roman"/>
          <w:color w:val="231F20"/>
          <w:kern w:val="0"/>
          <w:sz w:val="24"/>
          <w:szCs w:val="24"/>
          <w:lang w:bidi="ar"/>
        </w:rPr>
        <w:t>)</w:t>
      </w:r>
      <w:r>
        <w:rPr>
          <w:rFonts w:hint="default" w:ascii="Times New Roman" w:hAnsi="Times New Roman" w:eastAsia="仿宋_GB2312" w:cs="Times New Roman"/>
          <w:color w:val="231F20"/>
          <w:kern w:val="0"/>
          <w:sz w:val="24"/>
          <w:szCs w:val="24"/>
          <w:lang w:bidi="ar"/>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 xml:space="preserve">Jiangsu Provincial Party Committee and Provincial Government have tasked </w:t>
      </w:r>
      <w:r>
        <w:rPr>
          <w:rFonts w:hint="default" w:ascii="Times New Roman" w:hAnsi="Times New Roman" w:eastAsia="仿宋_GB2312" w:cs="Times New Roman"/>
          <w:color w:val="231F20"/>
          <w:kern w:val="0"/>
          <w:sz w:val="24"/>
          <w:szCs w:val="24"/>
          <w:lang w:bidi="ar"/>
        </w:rPr>
        <w:t xml:space="preserve">SOHO </w:t>
      </w:r>
      <w:r>
        <w:rPr>
          <w:rFonts w:hint="default" w:ascii="Times New Roman" w:hAnsi="Times New Roman" w:eastAsia="仿宋_GB2312" w:cs="Times New Roman"/>
          <w:color w:val="231F20"/>
          <w:kern w:val="0"/>
          <w:sz w:val="24"/>
          <w:szCs w:val="24"/>
          <w:lang w:bidi="ar"/>
        </w:rPr>
        <w:t xml:space="preserve">with the mission </w:t>
      </w:r>
      <w:r>
        <w:rPr>
          <w:rFonts w:hint="default" w:ascii="Times New Roman" w:hAnsi="Times New Roman" w:eastAsia="仿宋_GB2312" w:cs="Times New Roman"/>
          <w:color w:val="231F20"/>
          <w:kern w:val="0"/>
          <w:sz w:val="24"/>
          <w:szCs w:val="24"/>
          <w:lang w:bidi="ar"/>
        </w:rPr>
        <w:t>of</w:t>
      </w:r>
      <w:r>
        <w:rPr>
          <w:rFonts w:hint="default" w:ascii="Times New Roman" w:hAnsi="Times New Roman" w:eastAsia="仿宋_GB2312" w:cs="Times New Roman"/>
          <w:color w:val="231F20"/>
          <w:kern w:val="0"/>
          <w:sz w:val="24"/>
          <w:szCs w:val="24"/>
          <w:lang w:bidi="ar"/>
        </w:rPr>
        <w:t xml:space="preserve"> develop</w:t>
      </w:r>
      <w:r>
        <w:rPr>
          <w:rFonts w:hint="default" w:ascii="Times New Roman" w:hAnsi="Times New Roman" w:eastAsia="仿宋_GB2312" w:cs="Times New Roman"/>
          <w:color w:val="231F20"/>
          <w:kern w:val="0"/>
          <w:sz w:val="24"/>
          <w:szCs w:val="24"/>
          <w:lang w:bidi="ar"/>
        </w:rPr>
        <w:t>ing</w:t>
      </w:r>
      <w:r>
        <w:rPr>
          <w:rFonts w:hint="default" w:ascii="Times New Roman" w:hAnsi="Times New Roman" w:eastAsia="仿宋_GB2312" w:cs="Times New Roman"/>
          <w:color w:val="231F20"/>
          <w:kern w:val="0"/>
          <w:sz w:val="24"/>
          <w:szCs w:val="24"/>
          <w:lang w:bidi="ar"/>
        </w:rPr>
        <w:t xml:space="preserve"> into a world-class enterprise within 3-5 years, characterized by distinct core functions, </w:t>
      </w:r>
      <w:r>
        <w:rPr>
          <w:rFonts w:hint="default" w:ascii="Times New Roman" w:hAnsi="Times New Roman" w:eastAsia="仿宋_GB2312" w:cs="Times New Roman"/>
          <w:color w:val="231F20"/>
          <w:kern w:val="0"/>
          <w:sz w:val="24"/>
          <w:szCs w:val="24"/>
          <w:lang w:bidi="ar"/>
        </w:rPr>
        <w:t xml:space="preserve">significant </w:t>
      </w:r>
      <w:r>
        <w:rPr>
          <w:rFonts w:hint="default" w:ascii="Times New Roman" w:hAnsi="Times New Roman" w:eastAsia="仿宋_GB2312" w:cs="Times New Roman"/>
          <w:color w:val="231F20"/>
          <w:kern w:val="0"/>
          <w:sz w:val="24"/>
          <w:szCs w:val="24"/>
          <w:lang w:bidi="ar"/>
        </w:rPr>
        <w:t xml:space="preserve">competitive advantages, and a strong Jiangsu brand identity. </w:t>
      </w:r>
      <w:r>
        <w:rPr>
          <w:rFonts w:hint="default" w:ascii="Times New Roman" w:hAnsi="Times New Roman" w:eastAsia="仿宋_GB2312" w:cs="Times New Roman"/>
          <w:color w:val="231F20"/>
          <w:kern w:val="0"/>
          <w:sz w:val="24"/>
          <w:szCs w:val="24"/>
          <w:lang w:bidi="ar"/>
        </w:rPr>
        <w:t>Furthermore, t</w:t>
      </w:r>
      <w:r>
        <w:rPr>
          <w:rFonts w:hint="default" w:ascii="Times New Roman" w:hAnsi="Times New Roman" w:eastAsia="仿宋_GB2312" w:cs="Times New Roman"/>
          <w:color w:val="231F20"/>
          <w:kern w:val="0"/>
          <w:sz w:val="24"/>
          <w:szCs w:val="24"/>
          <w:lang w:bidi="ar"/>
        </w:rPr>
        <w:t xml:space="preserve">his development should support major strategic initiatives and contribute to the development and </w:t>
      </w:r>
      <w:r>
        <w:rPr>
          <w:rFonts w:hint="default" w:ascii="Times New Roman" w:hAnsi="Times New Roman" w:eastAsia="仿宋_GB2312" w:cs="Times New Roman"/>
          <w:color w:val="231F20"/>
          <w:kern w:val="0"/>
          <w:sz w:val="24"/>
          <w:szCs w:val="24"/>
          <w:lang w:bidi="ar"/>
        </w:rPr>
        <w:t xml:space="preserve">stability </w:t>
      </w:r>
      <w:r>
        <w:rPr>
          <w:rFonts w:hint="default" w:ascii="Times New Roman" w:hAnsi="Times New Roman" w:eastAsia="仿宋_GB2312" w:cs="Times New Roman"/>
          <w:color w:val="231F20"/>
          <w:kern w:val="0"/>
          <w:sz w:val="24"/>
          <w:szCs w:val="24"/>
          <w:lang w:bidi="ar"/>
        </w:rPr>
        <w:t>of Jiangsu's real economy, industrial chains, and supply chains. Leveraging its corporate characteristics,</w:t>
      </w:r>
      <w:r>
        <w:rPr>
          <w:rFonts w:hint="default" w:ascii="Times New Roman" w:hAnsi="Times New Roman" w:eastAsia="仿宋_GB2312" w:cs="Times New Roman"/>
          <w:color w:val="231F20"/>
          <w:kern w:val="0"/>
          <w:sz w:val="24"/>
          <w:szCs w:val="24"/>
          <w:lang w:bidi="ar"/>
        </w:rPr>
        <w:t xml:space="preserve"> SOHO </w:t>
      </w:r>
      <w:r>
        <w:rPr>
          <w:rFonts w:hint="default" w:ascii="Times New Roman" w:hAnsi="Times New Roman" w:eastAsia="仿宋_GB2312" w:cs="Times New Roman"/>
          <w:color w:val="231F20"/>
          <w:kern w:val="0"/>
          <w:sz w:val="24"/>
          <w:szCs w:val="24"/>
          <w:lang w:bidi="ar"/>
        </w:rPr>
        <w:t xml:space="preserve">has established its main businesses in trade and finance. It focuses on textiles and garments as its </w:t>
      </w:r>
      <w:r>
        <w:rPr>
          <w:rFonts w:hint="default" w:ascii="Times New Roman" w:hAnsi="Times New Roman" w:eastAsia="仿宋_GB2312" w:cs="Times New Roman"/>
          <w:color w:val="231F20"/>
          <w:kern w:val="0"/>
          <w:sz w:val="24"/>
          <w:szCs w:val="24"/>
          <w:lang w:bidi="ar"/>
        </w:rPr>
        <w:t>foundation</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utilizes bulk</w:t>
      </w:r>
      <w:r>
        <w:rPr>
          <w:rFonts w:hint="default" w:ascii="Times New Roman" w:hAnsi="Times New Roman" w:eastAsia="仿宋_GB2312" w:cs="Times New Roman"/>
          <w:color w:val="231F20"/>
          <w:kern w:val="0"/>
          <w:sz w:val="24"/>
          <w:szCs w:val="24"/>
          <w:lang w:bidi="ar"/>
        </w:rPr>
        <w:t xml:space="preserve"> commodities as a key lever, and</w:t>
      </w:r>
      <w:r>
        <w:rPr>
          <w:rFonts w:hint="default" w:ascii="Times New Roman" w:hAnsi="Times New Roman" w:eastAsia="仿宋_GB2312" w:cs="Times New Roman"/>
          <w:color w:val="231F20"/>
          <w:kern w:val="0"/>
          <w:sz w:val="24"/>
          <w:szCs w:val="24"/>
          <w:lang w:bidi="ar"/>
        </w:rPr>
        <w:t xml:space="preserve"> embraces</w:t>
      </w:r>
      <w:r>
        <w:rPr>
          <w:rFonts w:hint="default" w:ascii="Times New Roman" w:hAnsi="Times New Roman" w:eastAsia="仿宋_GB2312" w:cs="Times New Roman"/>
          <w:color w:val="231F20"/>
          <w:kern w:val="0"/>
          <w:sz w:val="24"/>
          <w:szCs w:val="24"/>
          <w:lang w:bidi="ar"/>
        </w:rPr>
        <w:t xml:space="preserve"> new business models as drivers to </w:t>
      </w:r>
      <w:r>
        <w:rPr>
          <w:rFonts w:hint="default" w:ascii="Times New Roman" w:hAnsi="Times New Roman" w:eastAsia="仿宋_GB2312" w:cs="Times New Roman"/>
          <w:color w:val="231F20"/>
          <w:kern w:val="0"/>
          <w:sz w:val="24"/>
          <w:szCs w:val="24"/>
          <w:lang w:bidi="ar"/>
        </w:rPr>
        <w:t>foster</w:t>
      </w:r>
      <w:r>
        <w:rPr>
          <w:rFonts w:hint="default" w:ascii="Times New Roman" w:hAnsi="Times New Roman" w:eastAsia="仿宋_GB2312" w:cs="Times New Roman"/>
          <w:color w:val="231F20"/>
          <w:kern w:val="0"/>
          <w:sz w:val="24"/>
          <w:szCs w:val="24"/>
          <w:lang w:bidi="ar"/>
        </w:rPr>
        <w:t xml:space="preserve"> high-quality growth</w:t>
      </w:r>
      <w:r>
        <w:rPr>
          <w:rFonts w:hint="default" w:ascii="Times New Roman" w:hAnsi="Times New Roman" w:eastAsia="仿宋_GB2312" w:cs="Times New Roman"/>
          <w:color w:val="231F20"/>
          <w:kern w:val="0"/>
          <w:sz w:val="24"/>
          <w:szCs w:val="24"/>
          <w:lang w:bidi="ar"/>
        </w:rPr>
        <w:t>. This strategy spans</w:t>
      </w:r>
      <w:r>
        <w:rPr>
          <w:rFonts w:hint="default" w:ascii="Times New Roman" w:hAnsi="Times New Roman" w:eastAsia="仿宋_GB2312" w:cs="Times New Roman"/>
          <w:color w:val="231F20"/>
          <w:kern w:val="0"/>
          <w:sz w:val="24"/>
          <w:szCs w:val="24"/>
          <w:lang w:bidi="ar"/>
        </w:rPr>
        <w:t xml:space="preserve"> six sectors: bulk trade and resource reserves, international operations, textile and garment brand development, trade logistics, smart manufacturing innovation, and finance-driven production investment</w:t>
      </w:r>
      <w:r>
        <w:rPr>
          <w:rFonts w:hint="default" w:ascii="Times New Roman" w:hAnsi="Times New Roman" w:eastAsia="仿宋_GB2312" w:cs="Times New Roman"/>
          <w:color w:val="231F20"/>
          <w:kern w:val="0"/>
          <w:sz w:val="24"/>
          <w:szCs w:val="24"/>
          <w:lang w:bidi="ar"/>
        </w:rPr>
        <w:t>. Through these efforts, SOHO is</w:t>
      </w:r>
      <w:r>
        <w:rPr>
          <w:rFonts w:hint="default" w:ascii="Times New Roman" w:hAnsi="Times New Roman" w:eastAsia="仿宋_GB2312" w:cs="Times New Roman"/>
          <w:color w:val="231F20"/>
          <w:kern w:val="0"/>
          <w:sz w:val="24"/>
          <w:szCs w:val="24"/>
          <w:lang w:bidi="ar"/>
        </w:rPr>
        <w:t xml:space="preserve"> accelerating </w:t>
      </w:r>
      <w:r>
        <w:rPr>
          <w:rFonts w:hint="default" w:ascii="Times New Roman" w:hAnsi="Times New Roman" w:eastAsia="仿宋_GB2312" w:cs="Times New Roman"/>
          <w:color w:val="231F20"/>
          <w:kern w:val="0"/>
          <w:sz w:val="24"/>
          <w:szCs w:val="24"/>
          <w:lang w:bidi="ar"/>
        </w:rPr>
        <w:t xml:space="preserve">the progress towards becoming </w:t>
      </w:r>
      <w:r>
        <w:rPr>
          <w:rFonts w:hint="default" w:ascii="Times New Roman" w:hAnsi="Times New Roman" w:eastAsia="仿宋_GB2312" w:cs="Times New Roman"/>
          <w:color w:val="231F20"/>
          <w:kern w:val="0"/>
          <w:sz w:val="24"/>
          <w:szCs w:val="24"/>
          <w:lang w:bidi="ar"/>
        </w:rPr>
        <w:t>a world-class enterprise.</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TRADE BUSINESS</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SOHO</w:t>
      </w:r>
      <w:r>
        <w:rPr>
          <w:rFonts w:hint="default" w:ascii="Times New Roman" w:hAnsi="Times New Roman" w:eastAsia="仿宋_GB2312" w:cs="Times New Roman"/>
          <w:color w:val="231F20"/>
          <w:kern w:val="0"/>
          <w:sz w:val="24"/>
          <w:szCs w:val="24"/>
          <w:lang w:bidi="ar"/>
        </w:rPr>
        <w:t xml:space="preserve"> has established extensive economic and trade relations with over 160 countries and regions</w:t>
      </w:r>
      <w:r>
        <w:rPr>
          <w:rFonts w:hint="default" w:ascii="Times New Roman" w:hAnsi="Times New Roman" w:eastAsia="仿宋_GB2312" w:cs="Times New Roman"/>
          <w:color w:val="231F20"/>
          <w:kern w:val="0"/>
          <w:sz w:val="24"/>
          <w:szCs w:val="24"/>
          <w:lang w:bidi="ar"/>
        </w:rPr>
        <w:t>. In 2024, the</w:t>
      </w:r>
      <w:r>
        <w:rPr>
          <w:rFonts w:hint="default" w:ascii="Times New Roman" w:hAnsi="Times New Roman" w:eastAsia="仿宋_GB2312" w:cs="Times New Roman"/>
          <w:color w:val="231F20"/>
          <w:kern w:val="0"/>
          <w:sz w:val="24"/>
          <w:szCs w:val="24"/>
          <w:lang w:bidi="ar"/>
        </w:rPr>
        <w:t xml:space="preserve"> total import and export volume </w:t>
      </w:r>
      <w:r>
        <w:rPr>
          <w:rFonts w:hint="default" w:ascii="Times New Roman" w:hAnsi="Times New Roman" w:eastAsia="仿宋_GB2312" w:cs="Times New Roman"/>
          <w:color w:val="231F20"/>
          <w:kern w:val="0"/>
          <w:sz w:val="24"/>
          <w:szCs w:val="24"/>
          <w:lang w:bidi="ar"/>
        </w:rPr>
        <w:t>reached 11.7</w:t>
      </w:r>
      <w:r>
        <w:rPr>
          <w:rFonts w:hint="default" w:ascii="Times New Roman" w:hAnsi="Times New Roman" w:eastAsia="仿宋_GB2312" w:cs="Times New Roman"/>
          <w:color w:val="231F20"/>
          <w:kern w:val="0"/>
          <w:sz w:val="24"/>
          <w:szCs w:val="24"/>
          <w:lang w:bidi="ar"/>
        </w:rPr>
        <w:t xml:space="preserve"> billion USD, ranking among the top in its sector nationwide. Approved as one of Jiangsu's first batch of integrated</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domestic</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 xml:space="preserve">and foreign trade pilot enterprises, </w:t>
      </w:r>
      <w:r>
        <w:rPr>
          <w:rFonts w:hint="default" w:ascii="Times New Roman" w:hAnsi="Times New Roman" w:eastAsia="仿宋_GB2312" w:cs="Times New Roman"/>
          <w:color w:val="231F20"/>
          <w:kern w:val="0"/>
          <w:sz w:val="24"/>
          <w:szCs w:val="24"/>
          <w:lang w:bidi="ar"/>
        </w:rPr>
        <w:t>SOHO</w:t>
      </w:r>
      <w:r>
        <w:rPr>
          <w:rFonts w:hint="default" w:ascii="Times New Roman" w:hAnsi="Times New Roman" w:eastAsia="仿宋_GB2312" w:cs="Times New Roman"/>
          <w:color w:val="231F20"/>
          <w:kern w:val="0"/>
          <w:sz w:val="24"/>
          <w:szCs w:val="24"/>
          <w:lang w:bidi="ar"/>
        </w:rPr>
        <w:t xml:space="preserve"> is committed to supporting the "dual circulation" strategy</w:t>
      </w:r>
      <w:r>
        <w:rPr>
          <w:rFonts w:hint="default" w:ascii="Times New Roman" w:hAnsi="Times New Roman" w:eastAsia="仿宋_GB2312" w:cs="Times New Roman"/>
          <w:color w:val="231F20"/>
          <w:kern w:val="0"/>
          <w:sz w:val="24"/>
          <w:szCs w:val="24"/>
          <w:lang w:bidi="ar"/>
        </w:rPr>
        <w:t xml:space="preserve"> by</w:t>
      </w:r>
      <w:r>
        <w:rPr>
          <w:rFonts w:hint="default" w:ascii="Times New Roman" w:hAnsi="Times New Roman" w:eastAsia="仿宋_GB2312" w:cs="Times New Roman"/>
          <w:color w:val="231F20"/>
          <w:kern w:val="0"/>
          <w:sz w:val="24"/>
          <w:szCs w:val="24"/>
          <w:lang w:bidi="ar"/>
        </w:rPr>
        <w:t xml:space="preserve"> expanding into both domestic and international markets and </w:t>
      </w:r>
      <w:r>
        <w:rPr>
          <w:rFonts w:hint="default" w:ascii="Times New Roman" w:hAnsi="Times New Roman" w:eastAsia="仿宋_GB2312" w:cs="Times New Roman"/>
          <w:color w:val="231F20"/>
          <w:kern w:val="0"/>
          <w:sz w:val="24"/>
          <w:szCs w:val="24"/>
          <w:lang w:bidi="ar"/>
        </w:rPr>
        <w:t xml:space="preserve">leveraging </w:t>
      </w:r>
      <w:r>
        <w:rPr>
          <w:rFonts w:hint="default" w:ascii="Times New Roman" w:hAnsi="Times New Roman" w:eastAsia="仿宋_GB2312" w:cs="Times New Roman"/>
          <w:color w:val="231F20"/>
          <w:kern w:val="0"/>
          <w:sz w:val="24"/>
          <w:szCs w:val="24"/>
          <w:lang w:bidi="ar"/>
        </w:rPr>
        <w:t>resources</w:t>
      </w:r>
      <w:r>
        <w:rPr>
          <w:rFonts w:hint="default" w:ascii="Times New Roman" w:hAnsi="Times New Roman" w:eastAsia="仿宋_GB2312" w:cs="Times New Roman"/>
          <w:color w:val="231F20"/>
          <w:kern w:val="0"/>
          <w:sz w:val="24"/>
          <w:szCs w:val="24"/>
          <w:lang w:bidi="ar"/>
        </w:rPr>
        <w:t xml:space="preserve"> from both</w:t>
      </w:r>
      <w:r>
        <w:rPr>
          <w:rFonts w:hint="default" w:ascii="Times New Roman" w:hAnsi="Times New Roman" w:eastAsia="仿宋_GB2312" w:cs="Times New Roman"/>
          <w:color w:val="231F20"/>
          <w:kern w:val="0"/>
          <w:sz w:val="24"/>
          <w:szCs w:val="24"/>
          <w:lang w:bidi="ar"/>
        </w:rPr>
        <w:t xml:space="preserve">. Its import and export goods include a rich variety of categories such as energy minerals, textiles and garments, electromechanics, pharmaceuticals and chemicals, and food grains and oils. </w:t>
      </w:r>
      <w:r>
        <w:rPr>
          <w:rFonts w:hint="default" w:ascii="Times New Roman" w:hAnsi="Times New Roman" w:eastAsia="仿宋_GB2312" w:cs="Times New Roman"/>
          <w:color w:val="231F20"/>
          <w:kern w:val="0"/>
          <w:sz w:val="24"/>
          <w:szCs w:val="24"/>
          <w:lang w:bidi="ar"/>
        </w:rPr>
        <w:t xml:space="preserve">SOHO </w:t>
      </w:r>
      <w:r>
        <w:rPr>
          <w:rFonts w:hint="default" w:ascii="Times New Roman" w:hAnsi="Times New Roman" w:eastAsia="仿宋_GB2312" w:cs="Times New Roman"/>
          <w:color w:val="231F20"/>
          <w:kern w:val="0"/>
          <w:sz w:val="24"/>
          <w:szCs w:val="24"/>
          <w:lang w:bidi="ar"/>
        </w:rPr>
        <w:t xml:space="preserve">currently </w:t>
      </w:r>
      <w:r>
        <w:rPr>
          <w:rFonts w:hint="default" w:ascii="Times New Roman" w:hAnsi="Times New Roman" w:eastAsia="仿宋_GB2312" w:cs="Times New Roman"/>
          <w:color w:val="231F20"/>
          <w:kern w:val="0"/>
          <w:sz w:val="24"/>
          <w:szCs w:val="24"/>
          <w:lang w:bidi="ar"/>
        </w:rPr>
        <w:t>operates</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over 80</w:t>
      </w:r>
      <w:r>
        <w:rPr>
          <w:rFonts w:hint="default" w:ascii="Times New Roman" w:hAnsi="Times New Roman" w:eastAsia="仿宋_GB2312" w:cs="Times New Roman"/>
          <w:color w:val="231F20"/>
          <w:kern w:val="0"/>
          <w:sz w:val="24"/>
          <w:szCs w:val="24"/>
          <w:lang w:bidi="ar"/>
        </w:rPr>
        <w:t xml:space="preserve"> overseas enterprises and organizations, with production bases, warehouses, and offices established in Europe, Southeast Asia, and Africa</w:t>
      </w:r>
      <w:r>
        <w:rPr>
          <w:rFonts w:hint="default" w:ascii="Times New Roman" w:hAnsi="Times New Roman" w:eastAsia="仿宋_GB2312" w:cs="Times New Roman"/>
          <w:color w:val="231F20"/>
          <w:kern w:val="0"/>
          <w:sz w:val="24"/>
          <w:szCs w:val="24"/>
          <w:lang w:bidi="ar"/>
        </w:rPr>
        <w:t xml:space="preserve">. The group constructed and operated carriers, such as China-Central Asia Trade Facilitation and Cooperation Platform and Central Asia-Jiangsu Center. SOHO </w:t>
      </w:r>
      <w:r>
        <w:rPr>
          <w:rFonts w:hint="default" w:ascii="Times New Roman" w:hAnsi="Times New Roman" w:eastAsia="仿宋_GB2312" w:cs="Times New Roman"/>
          <w:color w:val="231F20"/>
          <w:kern w:val="0"/>
          <w:sz w:val="24"/>
          <w:szCs w:val="24"/>
          <w:lang w:bidi="ar"/>
        </w:rPr>
        <w:t>also manages the operation of the Jiangsu</w:t>
      </w:r>
      <w:r>
        <w:rPr>
          <w:rFonts w:hint="default" w:ascii="Times New Roman" w:hAnsi="Times New Roman" w:eastAsia="仿宋_GB2312" w:cs="Times New Roman"/>
          <w:color w:val="231F20"/>
          <w:kern w:val="0"/>
          <w:sz w:val="24"/>
          <w:szCs w:val="24"/>
          <w:lang w:bidi="ar"/>
        </w:rPr>
        <w:t xml:space="preserve"> China-Europe (Asia) Railway</w:t>
      </w:r>
      <w:r>
        <w:rPr>
          <w:rFonts w:hint="default" w:ascii="Times New Roman" w:hAnsi="Times New Roman" w:eastAsia="仿宋_GB2312" w:cs="Times New Roman"/>
          <w:color w:val="231F20"/>
          <w:kern w:val="0"/>
          <w:sz w:val="24"/>
          <w:szCs w:val="24"/>
          <w:lang w:bidi="ar"/>
        </w:rPr>
        <w:t xml:space="preserve"> Express, which currently operates </w:t>
      </w:r>
      <w:r>
        <w:rPr>
          <w:rFonts w:hint="default" w:ascii="Times New Roman" w:hAnsi="Times New Roman" w:eastAsia="仿宋_GB2312" w:cs="Times New Roman"/>
          <w:color w:val="231F20"/>
          <w:kern w:val="0"/>
          <w:sz w:val="24"/>
          <w:szCs w:val="24"/>
          <w:lang w:bidi="ar"/>
        </w:rPr>
        <w:t xml:space="preserve">25 </w:t>
      </w:r>
      <w:r>
        <w:rPr>
          <w:rFonts w:hint="default" w:ascii="Times New Roman" w:hAnsi="Times New Roman" w:eastAsia="仿宋_GB2312" w:cs="Times New Roman"/>
          <w:color w:val="231F20"/>
          <w:kern w:val="0"/>
          <w:sz w:val="24"/>
          <w:szCs w:val="24"/>
          <w:lang w:bidi="ar"/>
        </w:rPr>
        <w:t xml:space="preserve">stable routes covering 26 countries </w:t>
      </w:r>
      <w:r>
        <w:rPr>
          <w:rFonts w:hint="default" w:ascii="Times New Roman" w:hAnsi="Times New Roman" w:eastAsia="仿宋_GB2312" w:cs="Times New Roman"/>
          <w:color w:val="231F20"/>
          <w:kern w:val="0"/>
          <w:sz w:val="24"/>
          <w:szCs w:val="24"/>
          <w:lang w:bidi="ar"/>
        </w:rPr>
        <w:t xml:space="preserve">and nearly 80 international stations </w:t>
      </w:r>
      <w:r>
        <w:rPr>
          <w:rFonts w:hint="default" w:ascii="Times New Roman" w:hAnsi="Times New Roman" w:eastAsia="仿宋_GB2312" w:cs="Times New Roman"/>
          <w:color w:val="231F20"/>
          <w:kern w:val="0"/>
          <w:sz w:val="24"/>
          <w:szCs w:val="24"/>
          <w:lang w:bidi="ar"/>
        </w:rPr>
        <w:t>across Europe and Asia</w:t>
      </w:r>
      <w:r>
        <w:rPr>
          <w:rFonts w:hint="default" w:ascii="Times New Roman" w:hAnsi="Times New Roman" w:eastAsia="仿宋_GB2312" w:cs="Times New Roman"/>
          <w:color w:val="231F20"/>
          <w:kern w:val="0"/>
          <w:sz w:val="24"/>
          <w:szCs w:val="24"/>
          <w:lang w:bidi="ar"/>
        </w:rPr>
        <w:t xml:space="preserve">. In 2024, </w:t>
      </w:r>
      <w:r>
        <w:rPr>
          <w:rFonts w:hint="default" w:ascii="Times New Roman" w:hAnsi="Times New Roman" w:eastAsia="仿宋_GB2312" w:cs="Times New Roman"/>
          <w:color w:val="231F20"/>
          <w:kern w:val="0"/>
          <w:sz w:val="24"/>
          <w:szCs w:val="24"/>
          <w:lang w:bidi="ar"/>
        </w:rPr>
        <w:t>2,</w:t>
      </w:r>
      <w:r>
        <w:rPr>
          <w:rFonts w:hint="default" w:ascii="Times New Roman" w:hAnsi="Times New Roman" w:eastAsia="仿宋_GB2312" w:cs="Times New Roman"/>
          <w:color w:val="231F20"/>
          <w:kern w:val="0"/>
          <w:sz w:val="24"/>
          <w:szCs w:val="24"/>
          <w:lang w:bidi="ar"/>
        </w:rPr>
        <w:t>286</w:t>
      </w:r>
      <w:r>
        <w:rPr>
          <w:rFonts w:hint="default" w:ascii="Times New Roman" w:hAnsi="Times New Roman" w:eastAsia="仿宋_GB2312" w:cs="Times New Roman"/>
          <w:color w:val="231F20"/>
          <w:kern w:val="0"/>
          <w:sz w:val="24"/>
          <w:szCs w:val="24"/>
          <w:lang w:bidi="ar"/>
        </w:rPr>
        <w:t xml:space="preserve"> trains </w:t>
      </w:r>
      <w:r>
        <w:rPr>
          <w:rFonts w:hint="default" w:ascii="Times New Roman" w:hAnsi="Times New Roman" w:eastAsia="仿宋_GB2312" w:cs="Times New Roman"/>
          <w:color w:val="231F20"/>
          <w:kern w:val="0"/>
          <w:sz w:val="24"/>
          <w:szCs w:val="24"/>
          <w:lang w:bidi="ar"/>
        </w:rPr>
        <w:t xml:space="preserve">were </w:t>
      </w:r>
      <w:r>
        <w:rPr>
          <w:rFonts w:hint="default" w:ascii="Times New Roman" w:hAnsi="Times New Roman" w:eastAsia="仿宋_GB2312" w:cs="Times New Roman"/>
          <w:color w:val="231F20"/>
          <w:kern w:val="0"/>
          <w:sz w:val="24"/>
          <w:szCs w:val="24"/>
          <w:lang w:bidi="ar"/>
        </w:rPr>
        <w:t>dispatched, significantly advancing economic and trade cooperation with countries and regions along the Belt and Road Initiative.</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FINANCIAL BUSINESS</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 xml:space="preserve">SOHO </w:t>
      </w:r>
      <w:r>
        <w:rPr>
          <w:rFonts w:hint="default" w:ascii="Times New Roman" w:hAnsi="Times New Roman" w:eastAsia="仿宋_GB2312" w:cs="Times New Roman"/>
          <w:color w:val="231F20"/>
          <w:kern w:val="0"/>
          <w:sz w:val="24"/>
          <w:szCs w:val="24"/>
          <w:lang w:bidi="ar"/>
        </w:rPr>
        <w:t xml:space="preserve">remains committed to providing financial services to the real economy, holding significant stakes in several financial institutions </w:t>
      </w:r>
      <w:r>
        <w:rPr>
          <w:rFonts w:hint="default" w:ascii="Times New Roman" w:hAnsi="Times New Roman" w:eastAsia="仿宋_GB2312" w:cs="Times New Roman"/>
          <w:color w:val="231F20"/>
          <w:kern w:val="0"/>
          <w:sz w:val="24"/>
          <w:szCs w:val="24"/>
          <w:lang w:bidi="ar"/>
        </w:rPr>
        <w:t xml:space="preserve">across </w:t>
      </w:r>
      <w:r>
        <w:rPr>
          <w:rFonts w:hint="default" w:ascii="Times New Roman" w:hAnsi="Times New Roman" w:eastAsia="仿宋_GB2312" w:cs="Times New Roman"/>
          <w:color w:val="231F20"/>
          <w:kern w:val="0"/>
          <w:sz w:val="24"/>
          <w:szCs w:val="24"/>
          <w:lang w:bidi="ar"/>
        </w:rPr>
        <w:t xml:space="preserve">securities, banking, trusts, and insurance. It holds important business licenses both domestically and internationally, offering multi-dimensional and specialized trading platforms and financial services to </w:t>
      </w:r>
      <w:r>
        <w:rPr>
          <w:rFonts w:hint="default" w:ascii="Times New Roman" w:hAnsi="Times New Roman" w:eastAsia="仿宋_GB2312" w:cs="Times New Roman"/>
          <w:color w:val="231F20"/>
          <w:kern w:val="0"/>
          <w:sz w:val="24"/>
          <w:szCs w:val="24"/>
          <w:lang w:bidi="ar"/>
        </w:rPr>
        <w:t>support Jiangsu's</w:t>
      </w:r>
      <w:r>
        <w:rPr>
          <w:rFonts w:hint="default" w:ascii="Times New Roman" w:hAnsi="Times New Roman" w:eastAsia="仿宋_GB2312" w:cs="Times New Roman"/>
          <w:color w:val="231F20"/>
          <w:kern w:val="0"/>
          <w:sz w:val="24"/>
          <w:szCs w:val="24"/>
          <w:lang w:bidi="ar"/>
        </w:rPr>
        <w:t xml:space="preserve"> trade and investment needs in </w:t>
      </w:r>
      <w:r>
        <w:rPr>
          <w:rFonts w:hint="default" w:ascii="Times New Roman" w:hAnsi="Times New Roman" w:eastAsia="仿宋_GB2312" w:cs="Times New Roman"/>
          <w:color w:val="231F20"/>
          <w:kern w:val="0"/>
          <w:sz w:val="24"/>
          <w:szCs w:val="24"/>
          <w:lang w:bidi="ar"/>
        </w:rPr>
        <w:t xml:space="preserve">countries of the </w:t>
      </w:r>
      <w:r>
        <w:rPr>
          <w:rFonts w:hint="default" w:ascii="Times New Roman" w:hAnsi="Times New Roman" w:eastAsia="仿宋_GB2312" w:cs="Times New Roman"/>
          <w:color w:val="231F20"/>
          <w:kern w:val="0"/>
          <w:sz w:val="24"/>
          <w:szCs w:val="24"/>
          <w:lang w:bidi="ar"/>
        </w:rPr>
        <w:t xml:space="preserve">Belt and Road Initiative. </w:t>
      </w:r>
      <w:r>
        <w:rPr>
          <w:rFonts w:hint="default" w:ascii="Times New Roman" w:hAnsi="Times New Roman" w:eastAsia="仿宋_GB2312" w:cs="Times New Roman"/>
          <w:color w:val="231F20"/>
          <w:kern w:val="0"/>
          <w:sz w:val="24"/>
          <w:szCs w:val="24"/>
          <w:lang w:bidi="ar"/>
        </w:rPr>
        <w:t xml:space="preserve">SOHO </w:t>
      </w:r>
      <w:r>
        <w:rPr>
          <w:rFonts w:hint="default" w:ascii="Times New Roman" w:hAnsi="Times New Roman" w:eastAsia="仿宋_GB2312" w:cs="Times New Roman"/>
          <w:color w:val="231F20"/>
          <w:kern w:val="0"/>
          <w:sz w:val="24"/>
          <w:szCs w:val="24"/>
          <w:lang w:bidi="ar"/>
        </w:rPr>
        <w:t xml:space="preserve">holds stakes in </w:t>
      </w:r>
      <w:r>
        <w:rPr>
          <w:rFonts w:hint="default" w:ascii="Times New Roman" w:hAnsi="Times New Roman" w:eastAsia="仿宋_GB2312" w:cs="Times New Roman"/>
          <w:color w:val="231F20"/>
          <w:kern w:val="0"/>
          <w:sz w:val="24"/>
          <w:szCs w:val="24"/>
          <w:lang w:bidi="ar"/>
        </w:rPr>
        <w:t>five</w:t>
      </w:r>
      <w:r>
        <w:rPr>
          <w:rFonts w:hint="default" w:ascii="Times New Roman" w:hAnsi="Times New Roman" w:eastAsia="仿宋_GB2312" w:cs="Times New Roman"/>
          <w:color w:val="231F20"/>
          <w:kern w:val="0"/>
          <w:sz w:val="24"/>
          <w:szCs w:val="24"/>
          <w:lang w:bidi="ar"/>
        </w:rPr>
        <w:t xml:space="preserve"> listed companies, both domestically and internationally. Notably, </w:t>
      </w:r>
      <w:r>
        <w:rPr>
          <w:rFonts w:hint="default" w:ascii="Times New Roman" w:hAnsi="Times New Roman" w:eastAsia="仿宋_GB2312" w:cs="Times New Roman"/>
          <w:color w:val="231F20"/>
          <w:kern w:val="0"/>
          <w:sz w:val="24"/>
          <w:szCs w:val="24"/>
          <w:lang w:bidi="ar"/>
        </w:rPr>
        <w:t xml:space="preserve">SOHO </w:t>
      </w:r>
      <w:r>
        <w:rPr>
          <w:rFonts w:hint="default" w:ascii="Times New Roman" w:hAnsi="Times New Roman" w:eastAsia="仿宋_GB2312" w:cs="Times New Roman"/>
          <w:color w:val="231F20"/>
          <w:kern w:val="0"/>
          <w:sz w:val="24"/>
          <w:szCs w:val="24"/>
          <w:lang w:bidi="ar"/>
        </w:rPr>
        <w:t xml:space="preserve">High Hope is </w:t>
      </w:r>
      <w:r>
        <w:rPr>
          <w:rFonts w:hint="default" w:ascii="Times New Roman" w:hAnsi="Times New Roman" w:eastAsia="仿宋_GB2312" w:cs="Times New Roman"/>
          <w:color w:val="231F20"/>
          <w:kern w:val="0"/>
          <w:sz w:val="24"/>
          <w:szCs w:val="24"/>
          <w:lang w:bidi="ar"/>
        </w:rPr>
        <w:t xml:space="preserve">among </w:t>
      </w:r>
      <w:r>
        <w:rPr>
          <w:rFonts w:hint="default" w:ascii="Times New Roman" w:hAnsi="Times New Roman" w:eastAsia="仿宋_GB2312" w:cs="Times New Roman"/>
          <w:color w:val="231F20"/>
          <w:kern w:val="0"/>
          <w:sz w:val="24"/>
          <w:szCs w:val="24"/>
          <w:lang w:bidi="ar"/>
        </w:rPr>
        <w:t>the first batch of state-owned enterprise</w:t>
      </w:r>
      <w:r>
        <w:rPr>
          <w:rFonts w:hint="default" w:ascii="Times New Roman" w:hAnsi="Times New Roman" w:eastAsia="仿宋_GB2312" w:cs="Times New Roman"/>
          <w:color w:val="231F20"/>
          <w:kern w:val="0"/>
          <w:sz w:val="24"/>
          <w:szCs w:val="24"/>
          <w:lang w:bidi="ar"/>
        </w:rPr>
        <w:t>s</w:t>
      </w:r>
      <w:r>
        <w:rPr>
          <w:rFonts w:hint="default" w:ascii="Times New Roman" w:hAnsi="Times New Roman" w:eastAsia="仿宋_GB2312" w:cs="Times New Roman"/>
          <w:color w:val="231F20"/>
          <w:kern w:val="0"/>
          <w:sz w:val="24"/>
          <w:szCs w:val="24"/>
          <w:lang w:bidi="ar"/>
        </w:rPr>
        <w:t xml:space="preserve"> in </w:t>
      </w:r>
      <w:r>
        <w:rPr>
          <w:rFonts w:hint="default" w:ascii="Times New Roman" w:hAnsi="Times New Roman" w:eastAsia="仿宋_GB2312" w:cs="Times New Roman"/>
          <w:color w:val="231F20"/>
          <w:kern w:val="0"/>
          <w:sz w:val="24"/>
          <w:szCs w:val="24"/>
          <w:lang w:bidi="ar"/>
        </w:rPr>
        <w:t>China and the first in Jiangsu Province to achieve a full listing;SOHO Fashion</w:t>
      </w:r>
      <w:r>
        <w:rPr>
          <w:rFonts w:hint="default" w:ascii="Times New Roman" w:hAnsi="Times New Roman" w:eastAsia="仿宋_GB2312" w:cs="Times New Roman"/>
          <w:color w:val="231F20"/>
          <w:kern w:val="0"/>
          <w:sz w:val="24"/>
          <w:szCs w:val="24"/>
          <w:lang w:bidi="ar"/>
        </w:rPr>
        <w:t xml:space="preserve"> is the leading enterprise in the province's garment trade industry, equipped with a complete industrial chain and integrated service capabilities</w:t>
      </w:r>
      <w:r>
        <w:rPr>
          <w:rFonts w:hint="default" w:ascii="Times New Roman" w:hAnsi="Times New Roman" w:eastAsia="仿宋_GB2312" w:cs="Times New Roman"/>
          <w:color w:val="231F20"/>
          <w:kern w:val="0"/>
          <w:sz w:val="24"/>
          <w:szCs w:val="24"/>
          <w:lang w:bidi="ar"/>
        </w:rPr>
        <w:t>; SOHO</w:t>
      </w:r>
      <w:r>
        <w:rPr>
          <w:rFonts w:hint="default" w:ascii="Times New Roman" w:hAnsi="Times New Roman" w:eastAsia="仿宋_GB2312" w:cs="Times New Roman"/>
          <w:color w:val="231F20"/>
          <w:kern w:val="0"/>
          <w:sz w:val="24"/>
          <w:szCs w:val="24"/>
          <w:lang w:bidi="ar"/>
        </w:rPr>
        <w:t xml:space="preserve"> Holly is the province's first publicly listed company in the foreign trade sector</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Holly Futures is the first company in China's futures industry to be listed on both the A-share and H-share markets</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General Science</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is a high-tech enterprise specializing in tire</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R&amp;D</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and</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manufacturing</w:t>
      </w:r>
      <w:r>
        <w:rPr>
          <w:rFonts w:hint="default" w:ascii="Times New Roman" w:hAnsi="Times New Roman" w:eastAsia="仿宋_GB2312" w:cs="Times New Roman"/>
          <w:color w:val="231F20"/>
          <w:kern w:val="0"/>
          <w:sz w:val="24"/>
          <w:szCs w:val="24"/>
          <w:lang w:bidi="ar"/>
        </w:rPr>
        <w:t>.</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大全集团有限公司</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bookmarkStart w:id="1" w:name="OLE_LINK19"/>
      <w:r>
        <w:rPr>
          <w:rFonts w:hint="default" w:ascii="Times New Roman" w:hAnsi="Times New Roman" w:eastAsia="方正仿宋_GBK" w:cs="Times New Roman"/>
          <w:sz w:val="24"/>
          <w:szCs w:val="24"/>
        </w:rPr>
        <w:t>大全集团有限公司</w:t>
      </w:r>
      <w:bookmarkEnd w:id="1"/>
      <w:r>
        <w:rPr>
          <w:rFonts w:hint="default" w:ascii="Times New Roman" w:hAnsi="Times New Roman" w:eastAsia="方正仿宋_GBK" w:cs="Times New Roman"/>
          <w:sz w:val="24"/>
          <w:szCs w:val="24"/>
        </w:rPr>
        <w:t>成立于 1965 年，是一家专注于智能电气、新能源、轨道交通领域的领先制造商。集团现有员工近 17,000 名，年营业额近 600 亿人民币，在江苏扬中、南京江宁、重庆万州、新疆石河子、湖北武汉设有多个生产基地，并拥有三家研究院（包括武汉新能源接入装备与技术研究院、大全西交大先进电气技术研究院和南京大全电气研究院）、23 家制造企业，以及国家博士后科研工作站、院士工作站、国家企业技术中心等研发机构。大全集团与德国西门子、美国伊顿、瑞士赛雪龙等国际公司设有多家合资企业，在美洲、欧洲、东南亚、中东、非洲建立了二十多家分支机构，形成了完善的全球运营网络。集团始终坚持创新驱动，每年科技投入超过销售额的5%，承担了 54 项国家和省级科技项目，参与 37 项国家和行业标准制定，并拥有超过2000 件专利，其中发明专利 220 件。大全集团致力于为客户提供高效、可靠的能源解决方案，其产品在质量、创新和技术集成方面处于行业领先地位。大全集团的主要产品包括中低压成套电器设备、智能元器件、轨道交通设备、新能源硅材料等。在智能电气领域，集团生产的中低压开关柜（如 SIVACON 8PT 智能化低压开关柜和 MDmax ST 数字化低压开关柜）具备高可靠性、智能化监控和灵活设计的特点，广泛应用于新能源、电子半导体、数据中心、市政工程等领域。此外，集团的DQTX-101 智能开关柜无线测温系统能够对高低压开关柜内母排连接处、断路器触头等关键部位进行实时温度监测，有效提升设备安全性和可靠性。在新能源领域，大全生产的高纯度硅材料产品产量和品质位居世界前列。本次考察团活动中，大全集团希望重点与罗马尼亚和保加利亚的能源、电力、工业制造及基础设施领域的企业对接，推广其智能开关柜、变压器、无线测温系统以及新能源解决方案，寻求潜在合作伙伴，共同开拓中东欧市场。</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DAQO Group</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Founded in 1965, DAQO Group is a leading manufacturer specializing in intelligentelectrical, new energy, and rail transportation solutions. With nearly 17,000 employeesand an annual revenue of approximately 8,4 billion USD, the company operates multipleproduction bases in Yangzhong (Jiangsu), Jiangning (Nanjing), Wanzhou (Chongqing),Shihezi (Xinjiang), and Wuhan (Hubei). It also boasts three research institutes—WuhanNew Energy Access Equipment and Technology Research Institute, DAQO-XJTUAdvanced Electrical Technology Research Institute, and Nanjing DAQO ElectricalResearch Institute—along with 23 manufacturing facilities. Additionally, the group hostsa National Postdoctoral Research Workstation, an Academician Workstation, and aNational Enterprise Technology Center. DAQO Group has established joint ventures withinternational companies such as Siemens (Germany), Eaton (US), and Sécheron(Switzerland), and operates over 20 branches across the Americas, Europe, SoutheastAsia, the Middle East, and Africa, forming a comprehensive global network. Driven byinnovation, the group invests over 5% of its annual sales in R&amp;D, has undertaken 54national and provincial scientific research projects, participated in the formulation of 37national and industry standards, and holds more than 2,000 patents, including 220invention patents. Committed to delivering efficient and reliable energy solutions, DAQOGroup excels in product quality, innovation, and technological integration.DAQO Group’s main products include low- and medium-voltage complete electricalequipment, intelligent components, rail transportation systems, and new energy siliconmaterials. In the field of intelligent electrical solutions, the group manufactures low- andmedium-voltage switchgear (such as the SIVACON 8PT intelligent low-voltageswitchgear and MDmax ST digital low-voltage switchgear), known for high reliability,intelligent monitoring, and flexible design. These products are widely used in newenergy, electronic semiconductors, data centers, and municipal engineering.Additionally, the group’s DQTX-101 wireless temperature measurement system forswitchgear enables real-time monitoring of critical components like busbar connectionsand circuit breaker contacts, significantly enhancing equipment safety and reliability. Inthe new energy sector, DAQO produces high-purity silicon materials that rank among theworld’s best in both output and quality. During this business delegation, DAQO Groupaims to engage with companies in Romania and Bulgaria focused on energy, power,industrial manufacturing, and infrastructure. Key products for collaboration includeintelligent switchgear, transformers, wireless temperature measurement systems, andnew energy solutions, as the group seeks potential partnerships to jointly explore theCentral and Eastern European market.</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bookmarkStart w:id="2" w:name="OLE_LINK12"/>
      <w:r>
        <w:rPr>
          <w:rFonts w:hint="default" w:ascii="Times New Roman" w:hAnsi="Times New Roman" w:eastAsia="方正仿宋_GBK" w:cs="Times New Roman"/>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常熟海伦铝业有限公司</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常熟海伦铝业有限公司始建于1998年，是一家集模具设计开发、铝型材挤压、精密深加工、表面处理于一体的定制生产服务企业。公司坐落于江苏省常熟经济开发区新龙腾工业园，地处江南鱼米之乡，气候宜人，交通便捷。公司占地50000多平方米，拥有员工200余名。</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海伦铝业砥砺奋进二十五年，现拥有600吨、两条1100吨、1800吨、2500吨、3600吨6条精密铝型材挤压生产线，同时还拥有完善的检测设备，如直读光谱仪、液压万能试验机、光学影像测量仪、电子布氏硬度计等。公司专业致力于生产汽车附件、轨道交通、电力储能、自动化、电子、医疗、光伏等产业的低碳铝镁轻量化异型产品及建筑智能幕墙系统，积累了几十年的生产实践经验。</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海伦铝业本着“锐意进取，源于创新”以“安全第一、环保先行”的理念，不断完善质量与环境管理体系。2022年11月荣获“国家级高新技术企业”的称号，且先后通过了ISO9001：2015质量管理体系认证、ISO14001：2015环境管理体系认证和IATF16949：2016质量体系认证，同时公司产品多次被评为“江苏省优质产品”。</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海伦铝业的发展，源自于高目标的追求、严格的管理、精良的装备和客户一贯的信赖与支持。公司将一如既往地发扬与时俱进、开拓创新的精神，以“一流的产品、一流的服务”为客户提供优质的产品。</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p>
    <w:bookmarkEnd w:id="2"/>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Changshu Hailun Aluminum Industry Co., Ltd.</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Changshu Hailun Aluminum Industry Co., Ltd., founded in 1998, is a custom production and service provider of mold design and development, aluminum extrusion, precision and deep processing, and surface treatment. It is located in Changshu Economic Development Zone, New Longteng Industrial Park, Jiangsu Province, a Jiangnan province of honey and milk, pleasant climate, and convenient transportation. The company covers an area of more than 50,000 square meters and boasts more than 200 employees.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Hailun Aluminum has been forging ahead for 25 years. Now it has 6 precision aluminum extrusion lines:600 ton (1), 1100 ton (2), 1800 ton (1), 2500 ton (1), and 3600 ton (1). It is also well equipped with testers, such as direct reading spectrometers, universal hydraulic testers, optical image measuring instruments, and electronic Brinell hardness testers. The company specializes in the production of automotive accessories andlow-carbon aluminum magnesium lightweight products (including odd shapes) for rail traffic industry, power and energy storage industry, automation industry, electronics industry, medical industry, photovoltaic industry and Intelligent Curtain Wall. It has acquired decades of production experience.</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Hailun Aluminum pursues spirits of "forging ahead with innovation" and "safety and environmental protection first" and constantly improves its product quality and environmental management system. In November 2022 it won an accolade of "national high-tech enterprises", and has passed the ISO9001:2015 quality management system certification, ISO14001: 2015 environmental management system certification and IATF16949:2016 quality system certification, and its products have been rated as "Jiangsu quality products" many times.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The development of Hailun Aluminum came from its pursuit of high objectives, strict management, excellent equipment and customers' consistent trust and support. The company will, as always, carry forward the spirit of advancing with the times, pioneering and being innovative, and will provide customers with "first-class products and first-class service".</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江苏华亚电缆有限公司</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江苏华亚电缆有限公司位于中国陶都宜兴，是一家致力于电线电缆研发、制造、销售和服务的生产企业。公司创办于1988年，占地120000多平方米，年均产值近50亿元。公司立足江苏，面向全国，不断拓展国际市场，在全国各地设有300多个销售网点，产品远销中东、东南亚、非洲等国家和城市， 近三年出口销售业绩达10亿元。公司坚持科技创新，与华北电力大学、南京工程学院等开展产学研合作，先后荣获“国家高新技术企业”，“国家CNAS实验室”、“江苏省企业技术中心”、“江苏省专精特新中小企业”、“江苏精品”等，申请发明专利、实用新型专利100余项。 </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司主要产品有：110kV及以下全系列电力电缆、架空绝缘电缆、架空导线、控制电缆、家装用线、通用橡套电缆、计算机电缆、防水电缆、预制分支电缆、BTTZ、BTTRZ、YTTW等系列矿物质防火电缆、风能用铝合金电缆、光伏电缆、储能电缆、机器人电缆以及各类无卤低烟、阻燃、耐火等特种电线电缆。</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Jiangsu Huaya Cable Co., Ltd.</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Jiangsu Huaya Cable Co., Ltd., located in Yixing—known as China’s “Ceramic Capital”—is a manufacturer specializing in the research, development, production, sales, and service of wires and cables. Established in 1988, the company occupies an area of over 120,000 square meters and achieves an annual output value of nearly 5 billion yuan. While headquartered in Jiangsu, it serves customers across China and is steadily expanding its presence in international markets.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With more than 300 sales outlets throughout the country, the company exports its products to numerous countries and regions in the Middle East, Southeast Asia, and Africa. Export sales have reached 1 billion yuan over the past three years.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Committed to technological innovation, Jiangsu Huaya Cable has established industry-university-research partnerships with institutions such as North China Electric Power University and Nanjing Institute of Technology. The company has been recognized with several honors, including “National High-tech Enterprise,” “National CNAS Laboratory,” “Jiangsu Enterprise Technology Center,” “Jiangsu Specialized and Innovative SME,” and “Jiangsu Quality Product.” Additionally, it has applied for more than 100 invention and utility model patents.</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The company’s main product offerings comprise:</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 full range of power cables up to 110kV</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Overhead insulated cables and conductors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Control cables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Home decoration wires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General rubber-sheathed cables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Computer cables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Waterproof cables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Prefabricated branch cables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Mineral fire-resistant cables (including BTTZ, BTTRZ, YTTW, and other series)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Aluminum alloy cables for wind power</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Photovoltaic cables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Energy storage cables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Robot cables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Various types of halogen-free, low-smoke, flame-retardant, fire-resistant, and other specialty wires and cables.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江苏省储能行业协会</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江苏省储能行业协会成立于 2021年，是全国首家储能行业协会。现有会员单位 1000余家，由科研机构、高等院校、投资开发、EPC设计、装备制造、咨询服务、检测认证、绿色金融、人力资本等单位组成。汇聚了宁德时代、比亚迪、远景能源、中创新航、阳光电源等行业领军企业。</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协会作为新能源行业重要促进组织，参与现代化产业体系建设工作，设立欧洲、澳洲、东南亚等海外分会，致力于搭建全球化的企业交流合作平台。通过组织国际大型会展会议、项目供需对接、技术研讨会、行业沙龙、企业走访调研等多元化活动，以及在标准制定、科技政策咨询等方面工作的开展，有效赋能产业资源整合，探索创新合作模式，推动项目落地执行，积极引导行业实现高质量发展。</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The Jiangsu Energy Storage Industry Association</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The Jiangsu Energy Storage Industry Association was established in 2021 and is the first energy storage industry association in China. There are currently over 1000 member units, consisting of research institutions, universities, investment and development, EPC design, equipment manufacturing, consulting services, testing and certification, green finance, human capital and other units. Bringing together leading companies in industries such as CATL, BYD, Farview Energy, Zhongchuang Aviation, and Sunac Power.</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As an important promotion organization in the new energy industry, the association participates in the construction of a modern industrial system, establishes overseas branches in Europe, Australia, Southeast Asia, and is committed to building a global platform for enterprise exchange and cooperation. By organizing diversified activities such as international large-scale exhibitions and conferences, project supply and demand docking, technical seminars, industry salons, and enterprise visits and research, as well as carrying out work in standard setting and technology policy consulting, we effectively empower the integration of industrial resources, explore innovative cooperation models, promote project implementation, and actively guide the industry to achieve high-quality development.</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江苏省人工智能学会</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苏省人工智能学会是江苏省科协领导下的省级科技社团之一，也是省一流学会、5A级学会，江苏省工业软件产业联盟、江苏省国防软件产业创新联盟、江苏省信息消费联盟秘书长单位，省工信厅新兴数字产业集群支撑机构。学会下设秘书处、7个工作委员会、17个专业委员会，现有专业委员1050名，80%为人工智能及计算机领域高校、科研机构教授（高工）以及企业一线技术研发人员，省内人工智能领域13位国家杰青均在学会担任职务。学会致力于推动人工智能科技交流、人才发展与成果转化，已举办百余场产学研交流、学科竞赛、创新创业大赛活动，在人才培训、科技咨询、产业研究、成果评价、标准编制等方面建立了较为完善的服务体系。旗下品牌会议“江苏人工智能大会”自2018年创办以来，历届嘉宾涵盖两院院士及50余位国内杰青与长江学者，累计吸引7700余人次、1400家企业参会，举办分论坛70余场，评选人工智能科技成果奖617个；品牌赛事“全球校园人工智能算法精英大赛”自2019年起吸引来自26个国家和地区、1000余所高校的学生参赛，累计参赛队伍2.4万支、参赛学生超过3.7万人，并于2023年列入全国本科院校学科竞赛排行榜，是省内首个进入国赛目录的本科生算法赛事。</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JiangSu Association of Artificial Intelligence</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JiangSu Association of Artificial Intelligence (JSAI) is a first-class provincial 5A-level scientific society under the Jiangsu Association for Science and Technology. It serves as the Secretariat for the Jiangsu Industrial Software Industry Alliance, the Jiangsu National Defense Software Industry Innovation Alliance, the Jiangsu Information Consumption Alliance, and supports emerging digital industry clusters under the Provincial Department of Industry and Information Technology. The Association has 1,050 professional members—80% from universities, research institutes, and frontline enterprise R&amp;D—with 13 Jiangsu-based recipients of the National Science Fund for Distinguished Young Scholars in AI.Committed to AI technology exchange, talent development, and achievement transformation, JSAI has organized over 100 industry-academia-research events, academic competitions, and innovation contests. The flagship conference, Jiangsu Artificial Intelligence Conference (est. 2018), has hosted academicians, 50+ domestic distinguished young scholars and Changjiang Scholars, attracting 7,700+ participants from 1,400 enterprises and awarding 617 AI Science and Technology Achievement Awards. The flagship competition, Global Campus AI Algorithm Elite Competition (est. 2019) has drawn students from 1,000+ universities across 26 countries, with 24,000 teams and 37,000+ students, and was included in the 2023 National Ranking of Undergraduate Academic Competitions—the first provincial association-organized competition in Jiangsu to enter the national catalog.</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江苏金恒信息科技股份有限公司</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江苏金恒信息科技股份有限公司（简称金恒科技）是南钢智慧产业化的旗舰平台，系国家高新技术企业、国家级专精特新“小巨人”企业、国家首批两化融合咨询服务机构、工信部智能制造&amp;工业互联网平台解决方案供应商。客户覆盖钢铁、矿山、环保、石化等行业，遍布国内20多个省市，拥有南京钢铁、中信特钢、宝武集团、鞍山钢铁、海南矿业、中荷环保、扬子石化等上百家行业重点客户。</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金恒科技秉承“数字化转型生态构建者”的企业愿景，融合新一代信息技术，围绕运营智慧化和生产智能化两大业务方向，全面提供集团管控、产销质财一体化以及覆盖钢铁全流程的数字工厂产品，同时在规划咨询、产线集控、智能装备方面提供企业数字化转型整体解决方案。核心产品与服务包括：数字化转型总体规划，“一企一策”助力企业实现效率提升与数据驱动决策；产销质财一体化平台，打破信息壁垒，推动业财协同与敏捷制造；基于数字孪生和AI技术的数字工厂，实现生产全局感知与精准控制；FSI²工业互联网平台，承载千余个工业APP及数十万设备点位，为数字化转型提供坚实底座；覆盖生产、质量、物流、供应链等多领域的应用软件定制开发能力，以成熟模块与微服务组件提升交付效率；工业AI能力，通过机器视觉、数据智能等50余个模型，支撑质量预测、物料跟踪、智能排程等智能制造应用，全面推动企业从数字化到智能化的升级。</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Jiangsu Jinheng Information Technology Co., Ltd.</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Jiangsu Jinheng Information Technology Co., Ltd. (abbreviated as Jinheng Technology) is the flagship platform for the smart industrialization of Nangang. It is a national high-tech enterprise, a national-level "little giant" enterprise specializing in precision, fine, unique, and innovative products, one of the first batch of national institutions providing consulting services for the integration of informationization and industrialization, and a solution provider for intelligent manufacturing &amp; industrial internet platforms under the Ministry of Industry and Information Technology. Its customers cover industries such as steel, mining, environmental protection, and petrochemicals, spanning over 20 provinces and cities in China. It boasts hundreds of key industry customers including Nanjing Steel, CITIC Pacific Special Steel, Baosteel Group Corporation, Anshan Iron and Steel Group, Hainan Mining, Shanghai CN-NL Waste Solution, and Sinopec Yangzi Petrochemical.</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Jinheng Technology adheres to the corporate vision of being an "ecosystem builder for digital transformation", integrating new-generation information technology and focusing on two major business directions: operational intelligence and production intelligence. It comprehensively provides group management and control, integration of production, sales, quality, and finance, as well as digital factory products covering the entire steel process. At the same time, it provides overall solutions for enterprise digital transformation in planning and consulting, production line centralized control, and intelligent equipment. Core products and services include: overall planning for digital transformation, "one enterprise, one policy" to help enterprises achieve efficiency improvement and data-driven decision-making; an integrated platform for production, sales, quality, and finance, breaking information barriers and promoting industry-finance collaboration and agile manufacturing; a digital factory based on digital twins and AI technology, achieving global perception and precise control of production; the FSI² industrial internet platform, hosting thousands of industrial apps and hundreds of thousands of equipment points, providing a solid foundation for digital transformation; custom development capabilities for application software covering production, quality, logistics, supply chain, and other fields, enhancing delivery efficiency with mature modules and microservice components; industrial AI capabilities, supporting quality prediction, material tracking, intelligent scheduling, and other intelligent manufacturing applications through more than 50 models such as machine vision and data intelligence, comprehensively promoting the upgrade of enterprises from digitalization to intelligence.</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坤泰车辆系统（常州）股份有限公司</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坤泰车辆系统（常州）股份有限公司致力专注于新能源汽车混合动力 DHT、扁线电机、电机控制器产品设计研发与生产制造，同时提供整车及动力总成测试服务，是国家“专精特新”小巨人企业、国家高新技术企业，主导并参与编制 3 项国家标准、9 项团体标准，已申请专利 448 项，其中发明专利 190 项。</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公司力争打造世界级新能源汽车动力传动技术，产品覆盖：1.混合动力专用变速箱 DHT 系列产品。全球首创 P2+P3 架构双电机双电机集成设计，具备高度集成、超低油耗、多种驱动模式优势，有效平衡整车动力性和经济性需求。国内重点客户有奇瑞汽车、中国一汽、北汽制造、意大利斯威汽车等。2. 扁线油冷电机系列产品。产品适用于 400V 及 800V 高低压平台，为车辆提供更强动力与更高效率，可广泛应用于纯电、混动、增程式等多种新能源车型。通过高转速扁线技术、智能冷却系统及永磁优化设计创新，有效解决新能源车“高能耗、低效率、体积大”等核心难点。3. 集成式电机控制器 MCU。产品可根据客户需求实现 400V 或 800V 高低压平台选配，支持 IGBT 和 SiC 两种功率模块，可集成 PDU、TCU、DCDC 等功能，实现动力域的智能高效域控集成目标，结合智能化控制策略算法搭载高效率功率模块，最高效率达 99.9%以上。</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Kuntye Vehicle System (Changzhou) Co., Ltd.</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Kuntye Vehicle System (Changzhou) Co., Ltd. focuses on providing products and solutions for new energy vehicles, including dedicated hybrid transmission (DHT), hair pin motors, and motor controllers, while also offering vehicle and powertrain testing services. Kuntye is recognized as the National "Little Giant" Enterprise specializing in smart innovation expertise and national high-tech enterprise. Kuntye has led or participated in the formulation of 3 national standards and 9 group standards, with a total of 448 patents applied for, including 190 invention patents.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Kuntye focuses on developing world-class new energy vehicle drivetrain technologies. Its products include:</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1. Dedicated Hybrid Transmission (DHT) Series Products. </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Featuring a globally pioneering dual-motor integrated design, these products are suitable for hybrid passenger and commercial vehicle platforms. Through highly integrated design, ultra-low fuel consumption, and multiple driving modes, they effectively balance vehicle power performance and economic efficiency. Kuntye’s key customers include Chery Automobile, FAW Group, BAW, and SWM, among other Chinese vehicle manufacturers.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2. Hair pin Oil-Cooled Motor Series Products. </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Suitable for 400V and 800V high-low voltage platforms, these motors provide vehicles with stronger power and higher efficiency. They can be widely used in pure electric, hybrid, and range-extended new energy vehicle models. Innovations such as high-speed hair pin technology, intelligent cooling systems, and permanent magnet optimization design effectively address core challenges in new energy vehicles, including high energy consumption, low efficiency, and large size. </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 Integrated Motor Controller Unit (MCU).</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The product can be configured for high or low voltage according to customer requirements for 400V or 800V platforms, supporting both IGBT and SiC power modules to achieve varying goals in efficiency, cost, lightweight design, and miniaturization. By combining intelligent control strategy algorithms with high-efficiency power modules, the controller achieves a peak efficiency of over 99.9%, providing a critical boost to the performance of modern new energy vehicles. From a domain-control coordination perspective, the product can integrate functions such as the PDU, TCU, and DCDC, enabling intelligent and efficient domain-control integration within the powertrain system.</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bookmarkStart w:id="3" w:name="OLE_LINK17"/>
      <w:r>
        <w:rPr>
          <w:rFonts w:hint="default" w:ascii="Times New Roman" w:hAnsi="Times New Roman" w:eastAsia="方正仿宋_GBK" w:cs="Times New Roman"/>
          <w:sz w:val="24"/>
          <w:szCs w:val="24"/>
        </w:rPr>
        <w:t>朗坤智慧科技股份有限公司</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朗坤智慧</w:t>
      </w:r>
      <w:bookmarkEnd w:id="3"/>
      <w:r>
        <w:rPr>
          <w:rFonts w:hint="default" w:ascii="Times New Roman" w:hAnsi="Times New Roman" w:eastAsia="方正仿宋_GBK" w:cs="Times New Roman"/>
          <w:kern w:val="0"/>
          <w:sz w:val="24"/>
          <w:szCs w:val="24"/>
        </w:rPr>
        <w:t>科技股份有限公司（以下简称“朗坤智慧”）成立于1999年，是国家鼓励的重点软件企业，也是工信部颁布的“跨行业跨领域”工业互联网平台企业。公司聚焦电力、煤矿、化工、冶金、建材、装备制造等重资产流程工业，利用人工智能（AI）技术，在运行优化、安全生产、节能降耗等专业领域，为客户持续创造价值。累计服务五大发电集团、中能建、中电建等上千家大型央国企及世界 500 强，业务遍及“一带一路”沿线20多个国家和地区，获中国互联网投资基金战略投资。</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朗坤苏畅采用先进的“云边协同”工业互联网平台技术底座，聚焦 AI+运行、AI+设备、AI+安全、AI+经营等高价值业务场景，推出苏畅“瑶光”工业大模型，以及设备故障预警与诊断、智慧监盘、能耗优化、质量寻优等“杀手锏”数智应用。此外，公司还打造工业软件、投建营一体化管控平台、设备资产管理平台EAM等一批自主可控的“首台套”应用。2023年，朗坤承建工信部"基于工业互联网平台的重点行业生产设备智能运维系统"项目，实现设备数据汇聚、智能运维，推动产业升级；2024年，朗坤承建国家发改委、国家数据局"电力能源综合服务数字赋能平台"项目，构建数字平台降低投资成本；朗坤承建国家能源集团国电电力火电生产管理平台、国家电投集团工业互联网+安全生产平台等项目被认定为达到“国际领先”水平。朗坤智慧希望对接的，正是这些能够助力企业实现智能化改造、数字化转型和碳中和目标的先进产品和解决方案。通过深度合作，朗坤智慧有信心为合作伙伴创造更大的价值，共同推动工业数智化高质量发展。</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Luculent Smart Technologies Co., Ltd.</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Luculent Smart Technologies Co., Ltd. (hereinafter referred to as "Luculent") was established in 1999. It is a key software enterprise encouraged by the state and an industrial internet platform enterprise recognized by the Ministry of Industry and Information Technology (MIIT) as operating across industries and domains. The company focuses on heavy asset process industries such as power, coal mining, chemical, metallurgy, building materials, and equipment manufacturing. Utilizing artificial intelligence (AI) technology, it creates continuous value for customers in professional fields such as operational optimization, safety production, and energy conservation.</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Luculent has cumulatively served thousands of large central state-owned enterprises (SOEs) and Fortune Global 500 companies, including the five major power generation groups, China Energy Engineering Group (CEEG), and China Power Engineering Consulting Group (CPECC). Its business spans over 20 countries and regions along the "Belt and Road" initiative and has received strategic investment from the China Internet Investment Fund.</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Luculent's SuChang platform adopts advanced "cloud-edge collaboration" industrial internet platform technology. It focuses on high-value business scenarios such as AI+Operations, AI+Equipment, AI+Safety, and AI+Business Operations. It has launched the SuChang "Yaoguang" industrial large language model (LLM), as well as "killer application" digital intelligence applications like equipment fault early warning and diagnosis, intelligent monitoring, energy consumption optimization, and quality optimization. Additionally, the company has developed a number of independent and controllable "first-of-their-kind" applications, including industrial software, investment-construction-operation integrated management and control platforms, and equipment asset management platforms (EAM).</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In 2023, Luculent undertook the MIIT project "Key Industry Production Equipment Intelligent Operation and Maintenance System Based on Industrial Internet Platform," achieving equipment data aggregation and intelligent operation and maintenance to promote industrial upgrading. In 2024, Luculent undertook projects from the National Development and Reform Commission (NDRC) and the National Data Administration, such as the "Digital Empowerment Platform for Integrated Energy Services in the Power Sector," to build digital platforms and reduce investment costs. Luculent's projects, such as the State Energy Group Guodian Power Thermal Power Production Management Platform and the State Power Investment Corporation (SPIC) Industrial Internet + Safety Production Platform, have been recognized as reaching "internationally leading" levels.</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Luculent Smart Technologies aims to connect with advanced products and solutions that can help enterprises achieve intelligent transformation, digital transformation, and carbon neutrality goals. Through deep cooperation, Luculent is confident in its ability to create greater value for partners and jointly promote the high-quality development of industrial digital intelligence.</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南京合智电力科技有限公司</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南京合智电力科技有限公司是专业从事智能电网先进技术和装备的研发、制造与服务的高科技企业。公司以先进的软硬件平台技术为基础，致力于为用户提供高可靠性的系统性的解决方案，是国内一二次深度融合的智能化高压开关技术的引领者，同时也是新型储能系统领域的创新实践者。公司的±500kV高压直流断路器控制保护系统以先进的架构和高可靠性设计得到国网的高度认可，成功在张北柔直电网工程中应用。此外，公司研发的分散式模块化储能系统突破了传统储能技术的安全与效率瓶颈，电池利用率提升12%，转换效率提高约5%，为新能源领域提供了更安全、高效的解决方案。合智电力由电力自动化和直流输电领域专家冯亚东博士创立，核心团队汇聚了多位具有15年以上国际一流高端装备研发经验的专家。公司始终坚持“求精、创新、合作、进取”的企业价值观，以技术领先和成熟可靠的产品赢得了市场广泛认可。</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公司核心产品包括智能化高压开关设备、分散式模块化储能系统技术、智能组件、变电站传感器、工业控制平台等，覆盖110kV至500kV高压领域，广泛应用于国家电网、南方电网等重大工程项目。目前，公司智能化高压开关产品已成功在【24】座变电站投运，分散式模块化储能系统在浙江、山东、四川等地成功落地，并应用于南极中山站等极端环境项目。</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Nanjing Hezhi Electric Power Technology Co., Ltd.</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Nanjing Hezhi Electric Power Technology Co., Ltd. is a high-tech enterprise specializing in the research and development, manufacturing and service of advanced technologies and equipment for smart grids. Based on advanced software and hardware platform technologies, the company is committed to providing users with highly reliable and systematic solutions. It is a leader in the domestic integration of primary and secondary intelligent high-voltage switch technologies and an innovator in the field of new energy storage systems. The company's ±500kV high-voltage DC circuit breaker control and protection system, with its advanced architecture and high-reliability design, has been highly recognized by State Grid and successfully applied in the Zhangbei Flexible DC Grid Project. In addition, the company's distributed modular energy storage system has broken through the safety and efficiency bottlenecks of traditional energy storage technologies, increasing battery utilization by 12% and conversion efficiency by approximately 5%, providing a safer and more efficient solution for the new energy field. Founded by Dr. Feng Yadong, an expert in power automation and DC transmission, Hezhi Electric Power has a core team composed of many experts with over 15 years of experience in the research and development of international first-class high-end equipment. The company has always adhered to the corporate values of "pursuing excellence, innovation, cooperation, and progress", and has won wide market recognition with its technology leadership and mature and reliable products.</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The company's core products include intelligent high-voltage switchgear, distributed modular energy storage system technology, intelligent components, substation sensors, industrial control platforms, etc., covering the 110kV to 500kV high-voltage range, and are widely used in major projects of State Grid and Southern Power Grid. Currently, the company's intelligent high-voltage switchgear products have been successfully put into operation in 24 substations, and the distributed modular energy storage system has been successfully implemented in Zhejiang, Shandong, Sichuan and other places, and applied in extreme environment projects such as the Zhongshan Station in Antarctica.</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江苏</w:t>
      </w:r>
      <w:r>
        <w:rPr>
          <w:rFonts w:hint="default" w:ascii="Times New Roman" w:hAnsi="Times New Roman" w:eastAsia="方正仿宋_GBK" w:cs="Times New Roman"/>
          <w:sz w:val="24"/>
          <w:szCs w:val="24"/>
        </w:rPr>
        <w:t>双登集团</w:t>
      </w:r>
      <w:r>
        <w:rPr>
          <w:rFonts w:hint="default" w:ascii="Times New Roman" w:hAnsi="Times New Roman" w:eastAsia="方正仿宋_GBK" w:cs="Times New Roman"/>
          <w:sz w:val="24"/>
          <w:szCs w:val="24"/>
        </w:rPr>
        <w:t>股份有限公司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双登股份是全球领先的数据中心、通信基站和电力储能公司，产品覆盖了电力储能、AIDC智算中心，数据通讯基站等等多元化应用场景。</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双登的特色：拥有“自产电芯+自研BMS+自研EMS”的产品技术，拥有从电芯到大型集装箱级系统集成的全产业链的储能生产体系；拥有全球五大洲150+国家和地区的销售和本地化服务能力。</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本次罗马尼亚、保加利亚希望对接企业背景：</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欧洲，双登的储能产品已经服务于西班牙、意大利、德国、捷克、瑞典等多国客户，本次与罗马尼亚、保加利亚客户合作，希望凭借双登满足欧洲标准的液冷集装箱系统、工商业光储并离网系统和户用储能系统、以及通讯、数据中心产品系列，对接本地1：电网系统公司（光+储、风+储、水电+储等新能源发电侧、电网侧，用户侧）开发商、投资商、EPC。2：本地数据和智算中心。3：本地各大通讯运营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SHOTO/Shuangdeng Group</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SHOTO is a global leader in data centers, communication base stations, and power energy storage. Its products cover diverse application scenarios, including power energy storage, AIDC intelligent computing centers, and data communication base stations.</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SHOTO's Highlights: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It boasts a comprehensive product technology portfolio encompassing "self-produced battery cells, self-developed BMS, and self-developed EMS."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It boasts a comprehensive energy storage production system, encompassing everything from battery cells to large-scale container-level system integration.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It boasts sales and localized service capabilities in over 150 countries and regions across five continents.</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Background of the companies seeking to connect in Romania and Bulgaria:</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In Europe, Shoto's energy storage products already serve clients in Spain, Italy, Germany, the Czech Republic, Sweden, and other countries. This collaboration with Romanian and Bulgarian clients aims to leverage Shoto's European-standard liquid-cooled container systems, commercial and industrial solar-storage systems (on-grid and off-grid), residential energy storage systems, and communications and data center product lines to connect with: 1. Grid system companies (on the power generation side, grid side, and user side of renewable energy sources such as solar-plus-storage, wind-plus-storage, and hydropower-plus-storage), developers, investors, EPC companies; 2. Local data and intelligent computing centers; 3. Major local telecommunications operators.</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万帮数字能源有限公司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万帮数字能源有限公司（Wanbang Digital Energy Co., Ltd.）总部位于中国常州，旗下运营核心品牌星星充电（StarCharge）。公司业务涵盖充电、能源和资产管理三大板块，去年实现6亿欧元的销售收入。除数字能源业务外，万帮还运营着中国领先的汽车经销商集团，在全国范围内管理100余家全资4S门店，2024年该板块销售收入达46亿欧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星星充电是全球电动汽车充电基础设施与能源解决方案的领导者。过去十年间，电动汽车充电桩销量位居全球首位，累计交付近200万台。在能源领域，星星充电去年投运的476兆瓦/476兆瓦时项目创下世界纪录——这是迄今为止全球规模最大的1C储能项目。</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kern w:val="0"/>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Wanbang Digital Energy Co., Ltd.</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Wanbang Digital Energy Co., Ltd., headquartered in Changzhou, China, operates the core brand StarCharge. The company encompasses three major business segments: charging, energy, and asset management, and has achieved €600 million in sales revenue. Beyond Wanbang Digital Energy, the Wanbang Group also operates a leading automotive dealership group, managing over 100 wholly-owned 4S dealerships nationwide, which generated €4.6 billion in sales revenue in 2024.</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StarCharge is a global leader in electric vehicle (EV) charging infrastructure and energy solutions. It ranks #1 globally in EV charger sales over the past decade, having delivered nearly 2 million units. In energy solutions, StarCharge showcased its scale last year by delivering a record-breaking 476 MW/476 MWh project – the world's largest 1C energy storage project to date.</w:t>
      </w:r>
      <w:r>
        <w:rPr>
          <w:rFonts w:hint="default" w:ascii="Times New Roman" w:hAnsi="Times New Roman" w:eastAsia="方正仿宋_GBK" w:cs="Times New Roman"/>
          <w:kern w:val="0"/>
          <w:sz w:val="24"/>
          <w:szCs w:val="24"/>
        </w:rPr>
        <w:cr/>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kern w:val="0"/>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bookmarkStart w:id="4" w:name="OLE_LINK14"/>
      <w:bookmarkStart w:id="5" w:name="OLE_LINK15"/>
      <w:r>
        <w:rPr>
          <w:rFonts w:hint="default" w:ascii="Times New Roman" w:hAnsi="Times New Roman" w:eastAsia="方正仿宋_GBK" w:cs="Times New Roman"/>
          <w:sz w:val="24"/>
          <w:szCs w:val="24"/>
        </w:rPr>
        <w:t>远景科技集团</w:t>
      </w:r>
    </w:p>
    <w:p>
      <w:pPr>
        <w:keepNext w:val="0"/>
        <w:keepLines w:val="0"/>
        <w:pageBreakBefore w:val="0"/>
        <w:kinsoku/>
        <w:wordWrap/>
        <w:overflowPunct/>
        <w:topLinePunct w:val="0"/>
        <w:autoSpaceDE/>
        <w:autoSpaceDN/>
        <w:bidi w:val="0"/>
        <w:adjustRightInd/>
        <w:snapToGrid/>
        <w:spacing w:line="400" w:lineRule="exact"/>
        <w:ind w:firstLine="645"/>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远景科技</w:t>
      </w:r>
      <w:bookmarkEnd w:id="4"/>
      <w:r>
        <w:rPr>
          <w:rFonts w:hint="default" w:ascii="Times New Roman" w:hAnsi="Times New Roman" w:eastAsia="方正仿宋_GBK" w:cs="Times New Roman"/>
          <w:sz w:val="24"/>
          <w:szCs w:val="24"/>
        </w:rPr>
        <w:t>集</w:t>
      </w:r>
      <w:bookmarkEnd w:id="5"/>
      <w:r>
        <w:rPr>
          <w:rFonts w:hint="default" w:ascii="Times New Roman" w:hAnsi="Times New Roman" w:eastAsia="方正仿宋_GBK" w:cs="Times New Roman"/>
          <w:sz w:val="24"/>
          <w:szCs w:val="24"/>
        </w:rPr>
        <w:t>团是</w:t>
      </w:r>
      <w:bookmarkEnd w:id="0"/>
      <w:r>
        <w:rPr>
          <w:rFonts w:hint="default" w:ascii="Times New Roman" w:hAnsi="Times New Roman" w:eastAsia="方正仿宋_GBK" w:cs="Times New Roman"/>
          <w:sz w:val="24"/>
          <w:szCs w:val="24"/>
        </w:rPr>
        <w:t>全球领先的绿色科技企业，秉持“为人类的可持续未来解决挑战”的使命，致力于成为全球企业、政府与机构的“零碳技术伙伴”。远景旗下拥有专注于智能风电、智慧储能系统及绿氢解决方案的远景能源，智能电池科技企业远景动力，开发全球领先智能物联操作系统的远景智能，管理远景-红杉碳中和基金的远景创投，以及电动方程式世锦赛年度总冠军车队——远景电动方程式车队。</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远景持续推动风电和储能成为“新煤炭”，推动动力电池、绿色氢氨醇、生物航油成为“新石油”，构建基于可再生能源的“新电网”，开创美好零碳世界。</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远景的业务遍及中国、德国、法国、英国、西班牙、丹麦、阿联酋、印度、越南、印度尼西亚、澳大利亚、美国、日本、墨西哥、阿根廷、智利等国家和地区，在全球设立超 20个运营总部和研发中心、拥有超60 个制造基地。</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远景能源是全球领先的智能风电、智慧储能系统技术和绿氢解决方案公司，2022-2024 年连续三年实现风机订单全球第一。</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远景能源是中国首家自主开发风电核心控制、载荷优化、变频变桨控制技术的风电整机企业。从开创中国低风速先河，引领双馈发电机直冷技术，到中国首个风机整机自研自制齿轮箱，中国首款批量碳纤维叶片，再到全球首款集成传动链高速双馈技术，远景持续用技术创新推动行业进步。远景风机被全球风电权威媒体《Windpower Monthly》评为“全球最佳风电机组”。</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远景能源引领中国风机核心部件国产化进程，解决风机关键部件依赖进口的“卡脖子”难题，目前已掌握叶片、齿轮箱、发电机等核心部件完全自主知识产权， 2023 年下线国内首台100%国产化大风机。因在引领全球绿色能源转型方面的重大贡献，远景入选《时代》2024年“全球100家最具影响力企业”，并被冠以“绿巨人”的称谓；同时，凭借零碳产业园的重大创新和绿氢全栈技术创新入选《财富》2024年“改变世界50 家企业”榜单，被誉为“能源创新者”，继2021年位列榜首后再次上榜。远景分别于 2022 年、2024年登上“福布斯中国最佳雇主”榜单；于 2023 年获得全球权威可持续发展评级机构EcoVadis 的“金牌”评级；于2024 年获得CDP A 评级，成为中国新能源领域首个获评A 级的企业。</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远景还获得中国企业500强、中国民营企业500强、国家服务型制造示范企业、国家知识产权优势企业、国家绿色工厂、国家绿色供应链管理企业、中国“五星级零碳工厂”双认证等。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作为低碳转型先行者，远景于 2022 年实现全球运营碳中和，并将以科技驱动加速迈向 2040 净零目标。</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远景能源相关产品介绍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远景能源构建了覆盖风电、储能、氢氨醇一体化、零碳产业园、综合能源新电网的完整产品矩阵，推动能源系统向 100%可再生能源迈进。</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1.风电产品</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远景是全球领先的风电整机制造商，提供陆上、海上全场景解决方案。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产品系列：陆上产品涵盖从 5MW-11MW 机型、海上产品涵盖从8.5MW-18MW+机型。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市场表现：累计装机突破 80GW，订单量全球第一，新增装机量全球第二；风机海外订单连续三年占中国风机企业海外订单 60%。</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2.储能产品</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远景储能涵盖电芯制造、系统集成、智慧管理，提供短时调频与长时储能方案。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产品系列：从电芯、PCS、BMS、EMS 到 SCADA 系统的全栈产品。</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市场表现：在全球参与超过300 个项目，出货量超30GWh，在亚太及全球市场排名第三，在手订单超 50GWh；全球储能系统供应商Tier 1（彭博NEF）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3.综合能源新电网（EnOS</w:t>
      </w:r>
      <w:r>
        <w:rPr>
          <w:rFonts w:hint="default" w:ascii="Times New Roman" w:hAnsi="Times New Roman" w:eastAsia="方正仿宋_GBK" w:cs="Times New Roman"/>
          <w:sz w:val="24"/>
          <w:szCs w:val="24"/>
          <w:vertAlign w:val="superscript"/>
        </w:rPr>
        <w:t>TM</w:t>
      </w:r>
      <w:r>
        <w:rPr>
          <w:rFonts w:hint="default" w:ascii="Times New Roman" w:hAnsi="Times New Roman" w:eastAsia="方正仿宋_GBK" w:cs="Times New Roman"/>
          <w:sz w:val="24"/>
          <w:szCs w:val="24"/>
        </w:rPr>
        <w:t xml:space="preserve"> + VPP + 智能微网）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远景通过数字化技术重构传统电网，构建“源网荷储”一体化新型电力系统。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产品系列：虚拟电厂（VPP） 、智能微网、电力市场交易等。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市场表现：远景赤峰绿色氢氨工厂；鄂尔多斯“风光氢氨”一体化工厂； 新加坡微网项目（集成光伏+储能+氢能），替代柴油发电机；英国GridFlex 项目，通过储能+VPP 降低电网阻塞成本15%等。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4.氢氨醇一体化（零碳燃料）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远景构建“风光储+电解制氢+合成氨/甲醇”全产业链，提供零碳燃料解决方案。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产品系列：绿氢制备；氨/甲醇合成；氢能储运。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市场表现：远景赤峰打造全球最大152 万吨绿色氢氨项目，2025年 7 月，项目首期 32 万吨工程建成投产；鄂尔多斯“风光氢氨”一体化项目，年产绿氢 2 万吨，配套100MW 储能。</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sz w:val="24"/>
          <w:szCs w:val="24"/>
        </w:rPr>
      </w:pP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Envision</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Envision is the world’s leading green technology company. With the mission of “solving challenges for humanity’s sustainable future”, Envision is committed to becoming a net zero technology partner for global enterprises, governments, and institutions. Encompassing three major business sectors - Smart Wind Turbines, Energy Storage, and Green Hydrogen Solutions, Envision Energy constructs comprehensive solutions for energy transition. </w:t>
      </w:r>
      <w:bookmarkStart w:id="6" w:name="OLE_LINK10"/>
      <w:bookmarkEnd w:id="6"/>
      <w:bookmarkStart w:id="7" w:name="OLE_LINK11"/>
      <w:bookmarkEnd w:id="7"/>
      <w:r>
        <w:rPr>
          <w:rFonts w:hint="default" w:ascii="Times New Roman" w:hAnsi="Times New Roman" w:eastAsia="方正仿宋_GBK" w:cs="Times New Roman"/>
          <w:sz w:val="24"/>
          <w:szCs w:val="24"/>
        </w:rPr>
        <w:t>The company also manages AESC, which is a leading smart battery company, Univers, focusing the development of the world-leading AIoToperating system, Envision-Hongshan Carbon-Neutral Fund and owns Envision Racing Formula E team, which conquered the Formula E Teams’ Championship in 2023.</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Envision Energy operates in countries and regions including China, Germany, France, the UK, Spain, Denmark, the UAE, India, Vietnam, Indonesia, Australia, the US, Japan, Mexico, Argentina, and Chile. It has established over 20 R&amp;D and operation centers, along with more than 60 manufacturing bases worldwide.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Envision Energy is a global leader in smart wind power, intelligent energy storage systems, and green hydrogen solutions, ranking No.1 globally in wind turbine orders for three consecutive years (2022–2024).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Envision Energy is the first Chinese wind turbine manufacturer to independently develop core technologies such as turbine control systems, load optimization, and variable-speed variable-pitch control. From pioneering low-wind-speed technology in China, leading directcooled doubly-fed generator technology, and producing China’s first self-developed gearbox and mass-produced carbon fiber blades, to launching the world’s first integrated drivetrain highspeed doubly-fed technology, Envision has continuously driven innovation in the wind industry. Its turbines have been recognized as “Best Turbine of the Year” by </w:t>
      </w:r>
      <w:r>
        <w:rPr>
          <w:rFonts w:hint="default" w:ascii="Times New Roman" w:hAnsi="Times New Roman" w:eastAsia="方正仿宋_GBK" w:cs="Times New Roman"/>
          <w:i/>
          <w:sz w:val="24"/>
          <w:szCs w:val="24"/>
        </w:rPr>
        <w:t>Wind Power Monthly</w:t>
      </w:r>
      <w:r>
        <w:rPr>
          <w:rFonts w:hint="default" w:ascii="Times New Roman" w:hAnsi="Times New Roman" w:eastAsia="方正仿宋_GBK" w:cs="Times New Roman"/>
          <w:sz w:val="24"/>
          <w:szCs w:val="24"/>
        </w:rPr>
        <w:t>.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Envision has led the localization of core wind turbine components in China, solving the “bottleneck” problem of reliance on imported key parts. It now possesses full independent intellectual property rights for blades, gearboxes, generators, and other core components. In 2023, it rolled out China’s first 100% domestically-produced large wind turbine.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With its contributions to global green energy transition, Envision Energy was listed as a “Green Giant” in 2024 “TIME 100 Most Influential Companies” list. Recognized as an “Energy Innovator”, the company was included in Fortune’s 2024 “Change the World” list for its major innovations in net zero industrial parks and full-stack green hydrogen technology, marking its second appearance after 2021. Besides, Envision Energy earned a spot on Forbes China’s “Best Employers” list in both 2022 and 2024. and the company also received several accolades for its sustainability performance, including the EcoVadis Gold Medal in 2023 and the CDP “A List” in 2024.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Envision has also been recognized as one of China’s Top 500 Enterprises, Top 500 Private Enterprises, a National Service-oriented Manufacturing Demonstration Enterprise, a National Intellectual Property Advantage Enterprise, a National Green Factory, a National Green Supply Chain Management Enterprise, and a recipient of China’s “Five-star Zero-carbon Factory” dual certification.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As a pioneer in net zero transition, Envision Energy achieved global operational carbon neutrality in 2022 and will keep leveraging technology to accelerate progress toward its 2040 net zero goal.</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Envision Energy Product Portfolio</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Envision Energy has built a complete product matrix covering wind power, energy storage, hydrogen/ammonia/methanol integration, zero-carbon industrial parks, and integrated renewable energy grids, driving the energy system toward 100% renewable energy. </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1. Wind Power Products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b/>
          <w:sz w:val="24"/>
          <w:szCs w:val="24"/>
        </w:rPr>
        <w:t>Overview</w:t>
      </w:r>
      <w:r>
        <w:rPr>
          <w:rFonts w:hint="default" w:ascii="Times New Roman" w:hAnsi="Times New Roman" w:eastAsia="方正仿宋_GBK" w:cs="Times New Roman"/>
          <w:sz w:val="24"/>
          <w:szCs w:val="24"/>
        </w:rPr>
        <w:t>: A global leader in wind turbine manufacturing, offering complete onshore and offshore solutions.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b/>
          <w:sz w:val="24"/>
          <w:szCs w:val="24"/>
        </w:rPr>
        <w:t>Product Range</w:t>
      </w:r>
      <w:r>
        <w:rPr>
          <w:rFonts w:hint="default" w:ascii="Times New Roman" w:hAnsi="Times New Roman" w:eastAsia="方正仿宋_GBK" w:cs="Times New Roman"/>
          <w:sz w:val="24"/>
          <w:szCs w:val="24"/>
        </w:rPr>
        <w:t>: Onshore turbines from 5 MW to 11 MW; offshore turbines from 8.5 MW to 18 MW+.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b/>
          <w:sz w:val="24"/>
          <w:szCs w:val="24"/>
        </w:rPr>
        <w:t>Market Performance</w:t>
      </w:r>
      <w:r>
        <w:rPr>
          <w:rFonts w:hint="default" w:ascii="Times New Roman" w:hAnsi="Times New Roman" w:eastAsia="方正仿宋_GBK" w:cs="Times New Roman"/>
          <w:sz w:val="24"/>
          <w:szCs w:val="24"/>
        </w:rPr>
        <w:t>: Over 80 GW installed capacity worldwide; ranked No.1 globally in orders and No.2 in new installations; overseas orders account for 60% of all Chinese wind turbine exports for three consecutive years. </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2. Energy Storage Products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b/>
          <w:sz w:val="24"/>
          <w:szCs w:val="24"/>
        </w:rPr>
        <w:t>Overview</w:t>
      </w:r>
      <w:r>
        <w:rPr>
          <w:rFonts w:hint="default" w:ascii="Times New Roman" w:hAnsi="Times New Roman" w:eastAsia="方正仿宋_GBK" w:cs="Times New Roman"/>
          <w:sz w:val="24"/>
          <w:szCs w:val="24"/>
        </w:rPr>
        <w:t>: Covers battery cell manufacturing, system integration, and intelligent management, offering short-duration frequency regulation and long-duration storage solutions.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b/>
          <w:sz w:val="24"/>
          <w:szCs w:val="24"/>
        </w:rPr>
        <w:t>Product Range</w:t>
      </w:r>
      <w:r>
        <w:rPr>
          <w:rFonts w:hint="default" w:ascii="Times New Roman" w:hAnsi="Times New Roman" w:eastAsia="方正仿宋_GBK" w:cs="Times New Roman"/>
          <w:sz w:val="24"/>
          <w:szCs w:val="24"/>
        </w:rPr>
        <w:t>: Full-stack products from cells, PCS, BMS, EMS to SCADA systems.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b/>
          <w:sz w:val="24"/>
          <w:szCs w:val="24"/>
        </w:rPr>
        <w:t>Market Performance</w:t>
      </w:r>
      <w:r>
        <w:rPr>
          <w:rFonts w:hint="default" w:ascii="Times New Roman" w:hAnsi="Times New Roman" w:eastAsia="方正仿宋_GBK" w:cs="Times New Roman"/>
          <w:sz w:val="24"/>
          <w:szCs w:val="24"/>
        </w:rPr>
        <w:t>: Participated in over 300 global projects; shipped over 30 GWh; ranked No.3 in both the Asia-Pacific and global markets; more than 50 GWh of orders in hand; listed as a Tier 1 global energy storage system supplier by BloombergNEF. </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3. Integrated Renewable Energy Grids (EnOS + VPP + Smart Microgrid)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b/>
          <w:sz w:val="24"/>
          <w:szCs w:val="24"/>
        </w:rPr>
        <w:t>Overview</w:t>
      </w:r>
      <w:r>
        <w:rPr>
          <w:rFonts w:hint="default" w:ascii="Times New Roman" w:hAnsi="Times New Roman" w:eastAsia="方正仿宋_GBK" w:cs="Times New Roman"/>
          <w:sz w:val="24"/>
          <w:szCs w:val="24"/>
        </w:rPr>
        <w:t>: Uses digital technology to reconstruct traditional power grids, building new integrated “generation-grid-load-storage” systems.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b/>
          <w:sz w:val="24"/>
          <w:szCs w:val="24"/>
        </w:rPr>
        <w:t>Product Range</w:t>
      </w:r>
      <w:r>
        <w:rPr>
          <w:rFonts w:hint="default" w:ascii="Times New Roman" w:hAnsi="Times New Roman" w:eastAsia="方正仿宋_GBK" w:cs="Times New Roman"/>
          <w:sz w:val="24"/>
          <w:szCs w:val="24"/>
        </w:rPr>
        <w:t>: Virtual Power Plant (VPP), smart microgrid, power market trading.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b/>
          <w:sz w:val="24"/>
          <w:szCs w:val="24"/>
        </w:rPr>
        <w:t>Market Performance</w:t>
      </w:r>
      <w:r>
        <w:rPr>
          <w:rFonts w:hint="default" w:ascii="Times New Roman" w:hAnsi="Times New Roman" w:eastAsia="方正仿宋_GBK" w:cs="Times New Roman"/>
          <w:sz w:val="24"/>
          <w:szCs w:val="24"/>
        </w:rPr>
        <w:t>: Projects include the Chifeng green hydrogen-ammonia plant, Ordos “wind-solar-hydrogen-ammonia” integrated plant, Singapore microgrid project (solar + storage + hydrogen) replacing diesel generators, and the UK GridFlex project reducing grid congestion costs by 15% through storage + VPP. </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4. Hydrogen-Ammonia-Methanol Integration (Zero-carbon Fuels)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b/>
          <w:sz w:val="24"/>
          <w:szCs w:val="24"/>
        </w:rPr>
        <w:t>Overview</w:t>
      </w:r>
      <w:r>
        <w:rPr>
          <w:rFonts w:hint="default" w:ascii="Times New Roman" w:hAnsi="Times New Roman" w:eastAsia="方正仿宋_GBK" w:cs="Times New Roman"/>
          <w:sz w:val="24"/>
          <w:szCs w:val="24"/>
        </w:rPr>
        <w:t>: Full industrial chain from “wind/solar + storage + electrolytic hydrogen production + ammonia/methanol synthesis,” providing zero-carbon fuel solutions.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b/>
          <w:sz w:val="24"/>
          <w:szCs w:val="24"/>
        </w:rPr>
        <w:t>Product Range</w:t>
      </w:r>
      <w:r>
        <w:rPr>
          <w:rFonts w:hint="default" w:ascii="Times New Roman" w:hAnsi="Times New Roman" w:eastAsia="方正仿宋_GBK" w:cs="Times New Roman"/>
          <w:sz w:val="24"/>
          <w:szCs w:val="24"/>
        </w:rPr>
        <w:t>: Green hydrogen production; ammonia/methanol synthesis; hydrogen storage and transportation.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r>
        <w:rPr>
          <w:rFonts w:hint="default" w:ascii="Times New Roman" w:hAnsi="Times New Roman" w:eastAsia="方正仿宋_GBK" w:cs="Times New Roman"/>
          <w:b/>
          <w:sz w:val="24"/>
          <w:szCs w:val="24"/>
        </w:rPr>
        <w:t>Market Performance</w:t>
      </w:r>
      <w:r>
        <w:rPr>
          <w:rFonts w:hint="default" w:ascii="Times New Roman" w:hAnsi="Times New Roman" w:eastAsia="方正仿宋_GBK" w:cs="Times New Roman"/>
          <w:sz w:val="24"/>
          <w:szCs w:val="24"/>
        </w:rPr>
        <w:t>: Chifeng project — the world’s largest 1.52 million-ton green hydrogen-ammonia project, with the first 320,000-ton phase to start production in July 2025.</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bookmarkStart w:id="8" w:name="OLE_LINK16"/>
      <w:bookmarkStart w:id="9" w:name="OLE_LINK18"/>
      <w:r>
        <w:rPr>
          <w:rFonts w:hint="default" w:ascii="Times New Roman" w:hAnsi="Times New Roman" w:eastAsia="方正仿宋_GBK" w:cs="Times New Roman"/>
          <w:sz w:val="24"/>
          <w:szCs w:val="24"/>
        </w:rPr>
        <w:t>中耐新材料有限公司</w:t>
      </w:r>
    </w:p>
    <w:bookmarkEnd w:id="8"/>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中耐新材料有限公司</w:t>
      </w:r>
      <w:bookmarkEnd w:id="9"/>
      <w:r>
        <w:rPr>
          <w:rFonts w:hint="default" w:ascii="Times New Roman" w:hAnsi="Times New Roman" w:eastAsia="方正仿宋_GBK" w:cs="Times New Roman"/>
          <w:sz w:val="24"/>
          <w:szCs w:val="24"/>
        </w:rPr>
        <w:t>成立于2022年8月，总部位于安徽省合肥市肥西县。公司专注于新材料技术的研发，以及高性能陶瓷纤维产品和复合材料的生产制造。公司的主要产品包括动力及储能电池用隔热垫、尾气后处理衬垫、车用地毯、石化保温材料、钢水包保温材料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车用高性能陶瓷纤维领域，是部分细分市场是国内产业链最全，唯一能够与国际品牌竞争的自主品牌，是宁德供货量最大的陶瓷纤维基材供应商，是晶科储能目前唯一电池隔热垫供应商，阜阳工厂全面投产后是国内车用纤维纸产能最大、供货面最广的企业。当前公司已战略引入优势资本入股，正在与广汽集团、晶科能源洽谈战略入股，与一汽集团合资公司预计2026年投产。</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司已在安徽省合肥市、四川省达州市、安徽省阜阳市、吉林省白城市建立四个生产制造基地，通过这些生产基地，公司已经直接或间接地为宁德时代、比亚迪、极氪、零跑、小米、长安、大众、阿特斯、晶科、亿纬锂能等众多新能源行业的主流企业提供高质量的产品和服务，大大提高了新能源汽车、储能电池的安全性，同时公司也是重汽、东风、玉柴、中铁物流等知名企业的关键一二级供应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公司期望了解当地产业规划情况，与当地储能及消防领域的生产制造/施工企业沟通，建立业务合作联系并协同创新。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Zhongnai New Materials Co., Ltd.</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Zhongnai New Materials Co., Ltd. was established in August 2022, with its headquarters located in Feixi County, Hefei City, Anhui Province. The company focuses on the research and development of new materials technology, as well as the production and manufacturing of high-performance ceramic fiber products and composite materials. Its main products include thermal insulation pads for power and energy storage batteries, exhaust after-treatment pads, automotive carpets, petrochemical insulation materials, and steel ladle insulation materials.</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In the field of high-performance automotive ceramic fibers, the company is the only domestic brand that can compete with international brands in some niche markets, being the largest supplier of ceramic fiber-based materials to CATL, the sole battery insulation pad supplier to Jinko Energy, and the company with the largest capacity and widest supply range for automotive fiber paper after the full-scale production at its Fuyang factory. Currently, the company has strategically introduced advantageous capital as shareholders, and is negotiating strategic investments with Guangzhou Automobile Group and Jinko Energy, with a joint venture with FAW Group expected to start production in 2026.</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The company has established four production bases in Hefei City, Anhui Province, Dazhou City, Sichuan Province, Fuyang City, Anhui Province, and Baicheng City, Jilin Province. Through these bases, the company directly or indirectly provides high-quality products and services to major enterprises in the new energy industry such as CATL, BYD, ZEEKR, Li Auto, Xiaomi, Changan, Volkswagen, Canadian Solar, Jinko Energy, and EVE Energy, significantly enhancing the safety of new energy vehicles and energy storage batteries. The company is also a key Tier 1 and Tier 2 supplier to well-known companies such as Sinotruk, Dongfeng, Yuchai, and China Railway Logistics.</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The company expects to understand the local industrial planning situation, communicate with local production and manufacturing/construction enterprises in the energy storage and fire protection sectors, establish business cooperation contacts, and collaborate on innovation.</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br w:type="page"/>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南京和本机电设备科技有限公司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南京和本机电设备科技有限公司成立于</w:t>
      </w:r>
      <w:r>
        <w:rPr>
          <w:rFonts w:hint="default" w:ascii="Times New Roman" w:hAnsi="Times New Roman" w:eastAsia="方正仿宋_GBK" w:cs="Times New Roman"/>
          <w:sz w:val="24"/>
          <w:szCs w:val="24"/>
        </w:rPr>
        <w:t>2014年，是一家专注于储能安全技术研发及产品开发的国家级专精特新“小巨人”企业。经过近10年的发展，和本机电在储能、风电、燃机、轨道交通行业建立了多个典型模型项目，与宁德时代、远景动力、天合储能、苏州阿特斯、平高等众多知名企业建立了长期稳定的合作关系，成为储能安全领域的领先者。依靠完备的技术体系和领先的行业地位，顺利通过各类行业资格认定和体系认证，获国家级专精特新小巨人企业、国家级高新技术企业、江苏省专精特新中小企业、江苏省民营科技企业、南京市“锂电池储能消防安全”工程技</w:t>
      </w:r>
      <w:r>
        <w:rPr>
          <w:rFonts w:hint="default" w:ascii="Times New Roman" w:hAnsi="Times New Roman" w:eastAsia="方正仿宋_GBK" w:cs="Times New Roman"/>
          <w:sz w:val="24"/>
          <w:szCs w:val="24"/>
        </w:rPr>
        <w:t>术研究中心、南京市企业技术中心培育库、“十佳消防安全解决方案供应商”、“中国新型储能百大品牌”等荣誉称号。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公司构建了完整的储能安全产品链及解决方案，主要产品包括报警系统、通排风系统、泄爆板、可燃气体探测等，产品具有</w:t>
      </w:r>
      <w:r>
        <w:rPr>
          <w:rFonts w:hint="default" w:ascii="Times New Roman" w:hAnsi="Times New Roman" w:eastAsia="方正仿宋_GBK" w:cs="Times New Roman"/>
          <w:sz w:val="24"/>
          <w:szCs w:val="24"/>
        </w:rPr>
        <w:t>3CF、FM、UL、CE、AS等认证，可以满足北美、欧洲、澳洲等主流应用市场，主导产品“储能集装箱智能集成灭火系统”累积出货32000+台，已构建覆盖“早期探测-报警控制-通排风-灭火-泄爆”五位一体的产品体系，该体系包括储能电站用复合火灾探测装置、火灾报警控制装置、可重复启动全氟已酮灭火装置、通排风系统及泄爆装置等，主导产品获“储能产业最佳消防安全解决方案奖”。</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Nanjing Heben Electromechanical Equipment Technology Co., Ltd.</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Nanjing Heben Electromechanical Equipment Technology Co., Ltd. Established in 2014, Nanjing Heben Electromechanical Equipment Technology Co., Ltd. is a National-level specialized, refined, unique, and innovative "Little Giant" enterprise focused on the R&amp;D of energy storage safety technologies and product development. After nearly a decade of development, Heben Electromechanical has established multiple typical model projects in the energy storage, wind power, gas turbine, and rail transportation industries. It has formed long-term, stable cooperative relationships with numerous renowned enterprises such as CATL, Envision AESC, Trina Storage, Suzhou Canadian Solar, and Pinggao, becoming a leader in the field of energy storage safety.Relying on its complete technical system and leading industry position, the company has successfully passed various industry qualifications and system certifications. It has been honored with titles including National-level specialized, refined, unique, and innovative "Little Giant" Enterprise, National High-tech Enterprise, Jiangsu Provincial specialized, refined, unique, and innovative SME, Jiangsu Provincial Private Sci-tech Enterprise, Nanjing "Lithium Battery Energy Storage Fire Safety" Engineering Technology Research Center, Nanjing Cultivation Repository for Enterprise Technology Centers, "Top Ten Fire Safety Solution Providers", and "China's Top 100 New Energy Storage Brands".</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The company has established a complete energy storage safety product chain and solutions. Its main products include alarm systems, ventilation and exhaust systems, explosion venting panels, combustible gas detectors, and more. These products hold certifications such as 3CF, FM, UL, CE, and AS, enabling them to meet the requirements of major international markets including North America, Europe, and Australia. The flagship product, the "Integrated Intelligent Fire Suppression System for Energy Storage Containers," has achieved cumulative shipments exceeding 32,000 units. The company has built a comprehensive five-in-one product system covering "early detection - alarm control - ventilation &amp; exhaust - fire suppression - explosion venting." This system includes composite fire detection devices for energy storage power stations, fire alarm control devices, restartable perfluorohexanone fire suppression devices, ventilation and exhaust systems, and explosion venting devices.The flagship product has been awarded the "Best Fire Safety Solution Award in the Energy Storage Industry."</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昆山沪光汽车电器股份有限公司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昆山沪光汽车电器股份有限公司成立于 1988 年，公司主要从事乘用车线束的研发、生产及销售,并积极布局特种线束、高压连接器产品。目前全球拥有9个制造基地在:昆山、仪征、宁波、重庆、天津、罗马尼亚, 6 个研发中心 昆山总部、上海安亭、重庆、韩国富川、德国沃尔夫斯堡、斯图加特;全球员工超过1万人服务客户。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其主营产品可分类:成套线束、发动机线束及其他线束。主要涵盖:整车客户定制化线束、新能源汽车高压线束、电池包线束、发动机线束、仪表板线束、车身线束、门线束、顶棚线束及尾部线束等。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司经过多年发展，依托领先、成熟的智能制造及自动化生产管理系统、灵活的同步研发设计与产品开发实力、严格的产品质量标准及精准可靠的供货能力，已发展成为汽车线束行业中具备领先市场地位的智能制造企业，并取得了境内外汽车整车制造商的高度认可并建立了长期合作关系，持续为大众汽车、梅赛德斯奔驰、奥迪汽车、通用汽车、福特汽车、捷豹路虎、赛力斯、L汽车、美国T公司、吉利极氪等国际知名汽车整车制造企业提供汽车线束同步开发、批量供货及技术服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沪光在欧洲布局的核心在于贴近客户、提升供应链效率，更快响应客户需求。欧洲区域总部设立在德国曼海姆，研发中心位于德国沃尔夫斯堡和斯图加特，这有助于公司紧跟欧洲汽车技术前沿，实现与主机厂同步发开。罗马尼亚工厂则承担制造基地的功能，工厂位于罗马尼亚西部 CTP Park Deval 工业园，占地面积 2.5 万平方米，建筑面积 8.6万平方米。罗马尼亚工厂引入了高科技生产线，是罗马尼亚首条高科技生产线，为当地创造了约 400 个新的就业岗位。</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Kunshan Huguang Automotive Electrical Appliance Co., Ltd. was established in 1988. The company mainly engages in the research and development, production and sales of passenger vehicle wiring harnesses, and is actively expanding into special wiring harnesses and high-voltage connectors. Headquartered in Kunshan, Jiangsu Province, with six manufacturing sites and six R&amp;D centers in China, North America and Europe</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 xml:space="preserve"> the company has over 10,000 employees who serve customers worldwide.</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Its main products can be classified as: complete wiring harnesses, engine wiring harnesses and other wiring harnesses. Mainly covering: customized wiring harnesses for complete vehicles, high-voltage wiring harnesses for new energy vehicles, battery pack wiring harnesses, engine wiring harnesses, dashboard wiring harnesses, body wiring harnesses, door wiring harnesses, roof wiring harnesses and rear wiring harnesses, etc.</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After years of development, the company has grown into a leading intelligent manufacturing enterprise in the automotive wiring harness industry, relying on its advanced and mature intelligent manufacturing and automated production management systems, flexible concurrent R&amp;D and design capabilities, strict product quality standards, and reliable supply capabilities. It has gained high recognition from both domestic and foreign automotive manufacturers and established long-term cooperative relationships. It continuously provides synchronous development, bulk supply and technical services of automotive wiring harnesses for well-known automotive manufacturers such as Volkswagen, Mercedes-Benz, Audi, General Motors, Ford, Jaguar Land Rover, Seres, L Motors, American T Company, and Geely Zeekr.</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Our</w:t>
      </w:r>
      <w:r>
        <w:rPr>
          <w:rFonts w:hint="default" w:ascii="Times New Roman" w:hAnsi="Times New Roman" w:eastAsia="方正仿宋_GBK" w:cs="Times New Roman"/>
          <w:sz w:val="24"/>
          <w:szCs w:val="24"/>
        </w:rPr>
        <w:t xml:space="preserve"> European layout </w:t>
      </w:r>
      <w:r>
        <w:rPr>
          <w:rFonts w:hint="default" w:ascii="Times New Roman" w:hAnsi="Times New Roman" w:eastAsia="方正仿宋_GBK" w:cs="Times New Roman"/>
          <w:sz w:val="24"/>
          <w:szCs w:val="24"/>
        </w:rPr>
        <w:t>is</w:t>
      </w:r>
      <w:r>
        <w:rPr>
          <w:rFonts w:hint="default" w:ascii="Times New Roman" w:hAnsi="Times New Roman" w:eastAsia="方正仿宋_GBK" w:cs="Times New Roman"/>
          <w:sz w:val="24"/>
          <w:szCs w:val="24"/>
        </w:rPr>
        <w:t xml:space="preserve"> aimed at getting closer to customers, improving supply chain efficiency, and responding to customer demands more quickly. The European regional headquarters is located in Mannheim, Germany, while the R&amp;D centers are in Wolfsburg and Stuttgart, Germany, which helps the company stay abreast of the latest European automotive technologies and achieve synchronous development with OEMs. The Romanian factory serves as the manufacturing base, located in CTP Park Deva II Industrial Park in western Romania, covering an area of 25,000 square meters and has a floor area of 86,000 square meters. The factory has introduced a high-tech production line, which is the first high-tech production line in Romania</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 xml:space="preserve"> creating approximately 400 new jobs for the local area.</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sz w:val="24"/>
          <w:szCs w:val="24"/>
        </w:rPr>
        <w:t>中国江阴海达橡塑有限公司</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公司概况</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HAIDA RUBBER &amp; PLASTIC ROMANIA SRL 是中国江阴海达橡塑有限公司（Jiangyin Haida Rubber &amp; Plastic Co., Ltd.）在罗马尼亚设立的全资子公司，旨在扩大其在欧洲市场的业务版图。</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成立时间：</w:t>
      </w:r>
      <w:r>
        <w:rPr>
          <w:rFonts w:hint="default" w:ascii="Times New Roman" w:hAnsi="Times New Roman" w:cs="Times New Roman"/>
          <w:sz w:val="24"/>
          <w:szCs w:val="24"/>
        </w:rPr>
        <w:t>2023年</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b/>
          <w:bCs/>
          <w:sz w:val="24"/>
          <w:szCs w:val="24"/>
        </w:rPr>
        <w:t>注册地址</w:t>
      </w:r>
      <w:r>
        <w:rPr>
          <w:rFonts w:hint="default" w:ascii="Times New Roman" w:hAnsi="Times New Roman" w:cs="Times New Roman"/>
          <w:sz w:val="24"/>
          <w:szCs w:val="24"/>
        </w:rPr>
        <w:t>：罗马尼亚阿拉德县 Nadab 镇，Calea Aradului 街道</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业务范围</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该公司主要从事以下业务：</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①</w:t>
      </w:r>
      <w:r>
        <w:rPr>
          <w:rFonts w:hint="default" w:ascii="Times New Roman" w:hAnsi="Times New Roman" w:cs="Times New Roman"/>
          <w:sz w:val="24"/>
          <w:szCs w:val="24"/>
        </w:rPr>
        <w:t>橡胶和塑料</w:t>
      </w:r>
      <w:r>
        <w:rPr>
          <w:rFonts w:hint="default" w:ascii="Times New Roman" w:hAnsi="Times New Roman" w:cs="Times New Roman"/>
          <w:sz w:val="24"/>
          <w:szCs w:val="24"/>
        </w:rPr>
        <w:t>密封件</w:t>
      </w:r>
      <w:r>
        <w:rPr>
          <w:rFonts w:hint="default" w:ascii="Times New Roman" w:hAnsi="Times New Roman" w:cs="Times New Roman"/>
          <w:sz w:val="24"/>
          <w:szCs w:val="24"/>
        </w:rPr>
        <w:t>的制造</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②</w:t>
      </w:r>
      <w:r>
        <w:rPr>
          <w:rFonts w:hint="default" w:ascii="Times New Roman" w:hAnsi="Times New Roman" w:cs="Times New Roman"/>
          <w:sz w:val="24"/>
          <w:szCs w:val="24"/>
        </w:rPr>
        <w:t>汽车</w:t>
      </w:r>
      <w:r>
        <w:rPr>
          <w:rFonts w:hint="default" w:ascii="Times New Roman" w:hAnsi="Times New Roman" w:cs="Times New Roman"/>
          <w:sz w:val="24"/>
          <w:szCs w:val="24"/>
        </w:rPr>
        <w:t>车顶密封条的</w:t>
      </w:r>
      <w:r>
        <w:rPr>
          <w:rFonts w:hint="default" w:ascii="Times New Roman" w:hAnsi="Times New Roman" w:cs="Times New Roman"/>
          <w:sz w:val="24"/>
          <w:szCs w:val="24"/>
        </w:rPr>
        <w:t>生产</w:t>
      </w: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战略意义</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海达选择在罗马尼亚设厂，主要是为了：</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①</w:t>
      </w:r>
      <w:r>
        <w:rPr>
          <w:rFonts w:hint="default" w:ascii="Times New Roman" w:hAnsi="Times New Roman" w:cs="Times New Roman"/>
          <w:sz w:val="24"/>
          <w:szCs w:val="24"/>
        </w:rPr>
        <w:t>更好地服务欧洲客户，缩短供应链</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②</w:t>
      </w:r>
      <w:r>
        <w:rPr>
          <w:rFonts w:hint="default" w:ascii="Times New Roman" w:hAnsi="Times New Roman" w:cs="Times New Roman"/>
          <w:sz w:val="24"/>
          <w:szCs w:val="24"/>
        </w:rPr>
        <w:t>抓住欧洲汽车行业对高质量橡塑产品的持续需求</w:t>
      </w:r>
      <w:r>
        <w:rPr>
          <w:rFonts w:hint="default" w:ascii="Times New Roman" w:hAnsi="Times New Roman" w:cs="Times New Roman"/>
          <w:sz w:val="24"/>
          <w:szCs w:val="24"/>
        </w:rPr>
        <w:t>，</w:t>
      </w:r>
      <w:r>
        <w:rPr>
          <w:rFonts w:hint="default" w:ascii="Times New Roman" w:hAnsi="Times New Roman" w:cs="Times New Roman"/>
          <w:sz w:val="24"/>
          <w:szCs w:val="24"/>
        </w:rPr>
        <w:t>提升在全球</w:t>
      </w:r>
      <w:r>
        <w:rPr>
          <w:rFonts w:hint="default" w:ascii="Times New Roman" w:hAnsi="Times New Roman" w:cs="Times New Roman"/>
          <w:sz w:val="24"/>
          <w:szCs w:val="24"/>
        </w:rPr>
        <w:t>橡塑密封条市场</w:t>
      </w:r>
      <w:r>
        <w:rPr>
          <w:rFonts w:hint="default" w:ascii="Times New Roman" w:hAnsi="Times New Roman" w:cs="Times New Roman"/>
          <w:sz w:val="24"/>
          <w:szCs w:val="24"/>
        </w:rPr>
        <w:t>的竞争力</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希望对接的罗马尼亚企业</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①橡塑类注射模具制造/维修企业</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②EPDM橡胶/TPV塑料颗粒生产企业</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③本地汽车制造与装配企业</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④本地汽车协会-办理原产地证书事宜</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需求帮助：</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①中方企业办理罗马尼亚短期商务签证的通过率与效率。</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Prezentarea Companiei</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HAIDA RUBBER &amp; PLASTIC ROMANIA SRL este o filială deținută în totalitate de Jiangyin Haida Rubber &amp; Plastic Co., Ltd. din China, înființată în România cu scopul de a extinde prezența companiei pe piața europeană.</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Style w:val="7"/>
          <w:rFonts w:hint="default" w:ascii="Times New Roman" w:hAnsi="Times New Roman" w:cs="Times New Roman"/>
          <w:sz w:val="24"/>
          <w:szCs w:val="24"/>
        </w:rPr>
        <w:t>Anul înființării</w:t>
      </w:r>
      <w:r>
        <w:rPr>
          <w:rFonts w:hint="default" w:ascii="Times New Roman" w:hAnsi="Times New Roman" w:cs="Times New Roman"/>
          <w:sz w:val="24"/>
          <w:szCs w:val="24"/>
        </w:rPr>
        <w:t>: 2023</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Style w:val="7"/>
          <w:rFonts w:hint="default" w:ascii="Times New Roman" w:hAnsi="Times New Roman" w:cs="Times New Roman"/>
          <w:sz w:val="24"/>
          <w:szCs w:val="24"/>
        </w:rPr>
        <w:t>Adresă</w:t>
      </w:r>
      <w:r>
        <w:rPr>
          <w:rFonts w:hint="default" w:ascii="Times New Roman" w:hAnsi="Times New Roman" w:cs="Times New Roman"/>
          <w:sz w:val="24"/>
          <w:szCs w:val="24"/>
        </w:rPr>
        <w:t>: Localitatea Nadab, județul Arad, strada Calea Aradului, România</w:t>
      </w:r>
    </w:p>
    <w:p>
      <w:pPr>
        <w:keepNext w:val="0"/>
        <w:keepLines w:val="0"/>
        <w:pageBreakBefore w:val="0"/>
        <w:kinsoku/>
        <w:wordWrap/>
        <w:overflowPunct/>
        <w:topLinePunct w:val="0"/>
        <w:autoSpaceDE/>
        <w:autoSpaceDN/>
        <w:bidi w:val="0"/>
        <w:adjustRightInd/>
        <w:snapToGrid/>
        <w:spacing w:line="400" w:lineRule="exact"/>
        <w:textAlignment w:val="auto"/>
        <w:rPr>
          <w:rStyle w:val="7"/>
          <w:rFonts w:hint="default" w:ascii="Times New Roman" w:hAnsi="Times New Roman" w:cs="Times New Roman"/>
          <w:sz w:val="24"/>
          <w:szCs w:val="24"/>
        </w:rPr>
      </w:pPr>
      <w:r>
        <w:rPr>
          <w:rStyle w:val="7"/>
          <w:rFonts w:hint="default" w:ascii="Times New Roman" w:hAnsi="Times New Roman" w:cs="Times New Roman"/>
          <w:sz w:val="24"/>
          <w:szCs w:val="24"/>
        </w:rPr>
        <w:t>Domeniul de activitate</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Compania desfășoară în principal următoarele activități:</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①</w:t>
      </w:r>
      <w:r>
        <w:rPr>
          <w:rFonts w:hint="default" w:ascii="Times New Roman" w:hAnsi="Times New Roman" w:cs="Times New Roman"/>
          <w:sz w:val="24"/>
          <w:szCs w:val="24"/>
        </w:rPr>
        <w:t>Producția de garnituri din cauciuc și plastic</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②</w:t>
      </w:r>
      <w:r>
        <w:rPr>
          <w:rFonts w:hint="default" w:ascii="Times New Roman" w:hAnsi="Times New Roman" w:cs="Times New Roman"/>
          <w:sz w:val="24"/>
          <w:szCs w:val="24"/>
        </w:rPr>
        <w:t>Fabricarea benzilor de etanșare pentru acoperișurile automobilelor</w:t>
      </w:r>
    </w:p>
    <w:p>
      <w:pPr>
        <w:keepNext w:val="0"/>
        <w:keepLines w:val="0"/>
        <w:pageBreakBefore w:val="0"/>
        <w:kinsoku/>
        <w:wordWrap/>
        <w:overflowPunct/>
        <w:topLinePunct w:val="0"/>
        <w:autoSpaceDE/>
        <w:autoSpaceDN/>
        <w:bidi w:val="0"/>
        <w:adjustRightInd/>
        <w:snapToGrid/>
        <w:spacing w:line="400" w:lineRule="exact"/>
        <w:textAlignment w:val="auto"/>
        <w:rPr>
          <w:rStyle w:val="7"/>
          <w:rFonts w:hint="default" w:ascii="Times New Roman" w:hAnsi="Times New Roman" w:cs="Times New Roman"/>
          <w:sz w:val="24"/>
          <w:szCs w:val="24"/>
        </w:rPr>
      </w:pPr>
      <w:r>
        <w:rPr>
          <w:rStyle w:val="7"/>
          <w:rFonts w:hint="default" w:ascii="Times New Roman" w:hAnsi="Times New Roman" w:cs="Times New Roman"/>
          <w:sz w:val="24"/>
          <w:szCs w:val="24"/>
        </w:rPr>
        <w:t>Semnificație strategică</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Decizia de a înființa o fabrică în România are următoarele obiective:</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①</w:t>
      </w:r>
      <w:r>
        <w:rPr>
          <w:rFonts w:hint="default" w:ascii="Times New Roman" w:hAnsi="Times New Roman" w:cs="Times New Roman"/>
          <w:sz w:val="24"/>
          <w:szCs w:val="24"/>
        </w:rPr>
        <w:t>Servirea mai eficientă a clienților europeni și scurtarea lanțului de aprovizionare</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②</w:t>
      </w:r>
      <w:r>
        <w:rPr>
          <w:rFonts w:hint="default" w:ascii="Times New Roman" w:hAnsi="Times New Roman" w:cs="Times New Roman"/>
          <w:sz w:val="24"/>
          <w:szCs w:val="24"/>
        </w:rPr>
        <w:t>Valorificarea cererii constante din industria auto europeană pentru produse de cauciuc și plastic de înaltă calitate, consolidând competitivitatea globală în domeniul benzilor de etanșare</w:t>
      </w:r>
    </w:p>
    <w:p>
      <w:pPr>
        <w:keepNext w:val="0"/>
        <w:keepLines w:val="0"/>
        <w:pageBreakBefore w:val="0"/>
        <w:kinsoku/>
        <w:wordWrap/>
        <w:overflowPunct/>
        <w:topLinePunct w:val="0"/>
        <w:autoSpaceDE/>
        <w:autoSpaceDN/>
        <w:bidi w:val="0"/>
        <w:adjustRightInd/>
        <w:snapToGrid/>
        <w:spacing w:line="400" w:lineRule="exact"/>
        <w:textAlignment w:val="auto"/>
        <w:rPr>
          <w:rStyle w:val="7"/>
          <w:rFonts w:hint="default" w:ascii="Times New Roman" w:hAnsi="Times New Roman" w:cs="Times New Roman"/>
          <w:sz w:val="24"/>
          <w:szCs w:val="24"/>
        </w:rPr>
      </w:pPr>
      <w:r>
        <w:rPr>
          <w:rStyle w:val="7"/>
          <w:rFonts w:hint="default" w:ascii="Times New Roman" w:hAnsi="Times New Roman" w:cs="Times New Roman"/>
          <w:sz w:val="24"/>
          <w:szCs w:val="24"/>
        </w:rPr>
        <w:t>Tipuri de companii românești vizate pentru colaborare</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Style w:val="7"/>
          <w:rFonts w:hint="default" w:ascii="Times New Roman" w:hAnsi="Times New Roman" w:cs="Times New Roman"/>
          <w:sz w:val="24"/>
          <w:szCs w:val="24"/>
        </w:rPr>
        <w:t>①</w:t>
      </w:r>
      <w:r>
        <w:rPr>
          <w:rFonts w:hint="default" w:ascii="Times New Roman" w:hAnsi="Times New Roman" w:cs="Times New Roman"/>
          <w:sz w:val="24"/>
          <w:szCs w:val="24"/>
        </w:rPr>
        <w:t>Producători și firme de întreținere a matrițelor de injecție pentru cauciuc și plastic</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②</w:t>
      </w:r>
      <w:r>
        <w:rPr>
          <w:rFonts w:hint="default" w:ascii="Times New Roman" w:hAnsi="Times New Roman" w:cs="Times New Roman"/>
          <w:sz w:val="24"/>
          <w:szCs w:val="24"/>
        </w:rPr>
        <w:t>Producători de granule EPDM și TPV</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③</w:t>
      </w:r>
      <w:r>
        <w:rPr>
          <w:rFonts w:hint="default" w:ascii="Times New Roman" w:hAnsi="Times New Roman" w:cs="Times New Roman"/>
          <w:sz w:val="24"/>
          <w:szCs w:val="24"/>
        </w:rPr>
        <w:t>Producători și asamblatori locali din industria auto</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④</w:t>
      </w:r>
      <w:r>
        <w:rPr>
          <w:rFonts w:hint="default" w:ascii="Times New Roman" w:hAnsi="Times New Roman" w:cs="Times New Roman"/>
          <w:sz w:val="24"/>
          <w:szCs w:val="24"/>
        </w:rPr>
        <w:t>Asociații auto locale – pentru obținerea certificatelor de origine</w:t>
      </w:r>
    </w:p>
    <w:p>
      <w:pPr>
        <w:keepNext w:val="0"/>
        <w:keepLines w:val="0"/>
        <w:pageBreakBefore w:val="0"/>
        <w:kinsoku/>
        <w:wordWrap/>
        <w:overflowPunct/>
        <w:topLinePunct w:val="0"/>
        <w:autoSpaceDE/>
        <w:autoSpaceDN/>
        <w:bidi w:val="0"/>
        <w:adjustRightInd/>
        <w:snapToGrid/>
        <w:spacing w:line="400" w:lineRule="exact"/>
        <w:textAlignment w:val="auto"/>
        <w:rPr>
          <w:rStyle w:val="7"/>
          <w:rFonts w:hint="default" w:ascii="Times New Roman" w:hAnsi="Times New Roman" w:cs="Times New Roman"/>
          <w:sz w:val="24"/>
          <w:szCs w:val="24"/>
        </w:rPr>
      </w:pPr>
      <w:r>
        <w:rPr>
          <w:rStyle w:val="7"/>
          <w:rFonts w:hint="default" w:ascii="Times New Roman" w:hAnsi="Times New Roman" w:cs="Times New Roman"/>
          <w:sz w:val="24"/>
          <w:szCs w:val="24"/>
        </w:rPr>
        <w:t>Sprijin solicitat</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rPr>
      </w:pPr>
      <w:r>
        <w:rPr>
          <w:rStyle w:val="7"/>
          <w:rFonts w:hint="default" w:ascii="Times New Roman" w:hAnsi="Times New Roman" w:cs="Times New Roman"/>
          <w:sz w:val="24"/>
          <w:szCs w:val="24"/>
        </w:rPr>
        <w:t>①</w:t>
      </w:r>
      <w:r>
        <w:rPr>
          <w:rFonts w:hint="default" w:ascii="Times New Roman" w:hAnsi="Times New Roman" w:cs="Times New Roman"/>
          <w:sz w:val="24"/>
          <w:szCs w:val="24"/>
        </w:rPr>
        <w:t xml:space="preserve">Informații privind </w:t>
      </w:r>
      <w:r>
        <w:rPr>
          <w:rStyle w:val="7"/>
          <w:rFonts w:hint="default" w:ascii="Times New Roman" w:hAnsi="Times New Roman" w:cs="Times New Roman"/>
          <w:sz w:val="24"/>
          <w:szCs w:val="24"/>
        </w:rPr>
        <w:t>rata de aprobare și eficiența procesului de obținere a vizelor de scurtă ședere pentru afaceri</w:t>
      </w:r>
      <w:r>
        <w:rPr>
          <w:rFonts w:hint="default" w:ascii="Times New Roman" w:hAnsi="Times New Roman" w:cs="Times New Roman"/>
          <w:sz w:val="24"/>
          <w:szCs w:val="24"/>
        </w:rPr>
        <w:t xml:space="preserve"> în România de către companiile chineze</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中兴通讯简介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兴通讯是全球领先的综合信息与通信技术解决方案提供商，用创新的技术与产品解决方案，服务于全球电信运营商、政企客户和消费者。公司成立于1985年，在香港和深圳两地上市，业务覆盖160多个国家和地区，服务全球1/3人口，致力于实现“让沟通与信任无处不在”的美好未来。</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兴通讯拥有ICT行业完整的、端到端的产品和综合解决方案，通过全系列的无线、有线、算力、数字能源、终端等产品方案及专业服务，灵活满足全球不同运营商和政企客户的差异化及快速创新的需求。目前，中兴通讯已全面服务于全球主流运营商、政企客户及消费者。数字经济大势所趋，成为推动全球经济持续稳定增长的关键动力，作为全球领先的大型综合信息与通信技术解决方案提供商，在数字经济大潮中，中兴通讯致力于成为“数字经济筑路者”，用创新的ICT科技，支撑全球数字化转型。</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截至2025年6月，中兴通讯累计拥有约9.4万件全球专利申请，累计超5万件全球授权专利。其中在AI领域，拥有近5,500件专利申请，有近一半已获授权；在芯片领域，拥有约5,700件专利申请，累计超3,700件授权专利。</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兴通讯在专利奖评选中屡获佳绩。截至2024年，中兴通讯在中国专利奖评选中已累计获得11项金奖、3项银奖、35项优秀奖（不含子公司，若包含为39优秀），为通信行业获中国专利奖最多的企业，在广东省专利奖评选中9项金奖、4项银奖、12项优秀奖，累计获得23项奖项（不含子公司，若包含，则为11金，5银，15优秀），累计为通信行业获奖最多的企业。2024年6月，中兴通讯携手产业伙伴荣获2023年度国家科技进步奖一等奖3项，二等奖2项共5项荣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面对新一轮科技革命和产业变革的历史性机遇，中兴通讯致力于成为“网络连接和智能算力的领导者”，将继续推进AI与ICT技术的融合，坚持广泛协作、开放利他，与合作伙伴一同赋能实体经济，推动算力普惠与AI应用普及，为全球数字化、智能化发展贡献力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ZTE Corporation</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As a global leading provider of integrated information and communication technology solutions, ZTE provides innovative technologies and integrated solutions for global operators, government and enterprise, and consumers. Founded in 1985 and listed on both the Hong Kong and Shenzhen Stock Exchanges, the company has been committed to providing innovative technologies and integrated solutions for global operators, government and enterprise, and consumers from over 160 countries across the globe. Serving over 1/3 of the global population, the company is dedicated to “enabling communication and trust everywhere for a better future”.</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ZTE has completed end-to-end product lines and integrated solutions in the ICT industry. Bolstered with its all series of wireless, wireline, computing power, digital energy, devices and professional telecommunications services, the company has great capability of flexibly satisfying the diversified requirements and pursuits for rapid innovations of global operators, government and enterprise network customers. Currently, ZTE has fully served mainstream global operators, government and enterprise, and customers. With digital economy becoming the key driving force for the sustained and stable growth of the global economy, ZTE has been committed to becoming the “Driver of Digital Economy”, supporting the global digital transformation with innovative ICT technologies. The company continuously increases R&amp;D investment and strengthens its core competitiveness.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A</w:t>
      </w:r>
      <w:r>
        <w:rPr>
          <w:rFonts w:hint="default" w:ascii="Times New Roman" w:hAnsi="Times New Roman" w:eastAsia="仿宋_GB2312" w:cs="Times New Roman"/>
          <w:color w:val="231F20"/>
          <w:kern w:val="0"/>
          <w:sz w:val="24"/>
          <w:szCs w:val="24"/>
          <w:lang w:bidi="ar"/>
        </w:rPr>
        <w:t>s</w:t>
      </w:r>
      <w:r>
        <w:rPr>
          <w:rFonts w:hint="default" w:ascii="Times New Roman" w:hAnsi="Times New Roman" w:eastAsia="仿宋_GB2312" w:cs="Times New Roman"/>
          <w:color w:val="231F20"/>
          <w:kern w:val="0"/>
          <w:sz w:val="24"/>
          <w:szCs w:val="24"/>
          <w:lang w:bidi="ar"/>
        </w:rPr>
        <w:t xml:space="preserve"> of June 2025</w:t>
      </w:r>
      <w:r>
        <w:rPr>
          <w:rFonts w:hint="default" w:ascii="Times New Roman" w:hAnsi="Times New Roman" w:eastAsia="仿宋_GB2312" w:cs="Times New Roman"/>
          <w:color w:val="231F20"/>
          <w:kern w:val="0"/>
          <w:sz w:val="24"/>
          <w:szCs w:val="24"/>
          <w:lang w:bidi="ar"/>
        </w:rPr>
        <w:t xml:space="preserve">, the company </w:t>
      </w:r>
      <w:r>
        <w:rPr>
          <w:rFonts w:hint="default" w:ascii="Times New Roman" w:hAnsi="Times New Roman" w:eastAsia="仿宋_GB2312" w:cs="Times New Roman"/>
          <w:color w:val="231F20"/>
          <w:kern w:val="0"/>
          <w:sz w:val="24"/>
          <w:szCs w:val="24"/>
          <w:lang w:bidi="ar"/>
        </w:rPr>
        <w:t xml:space="preserve">has </w:t>
      </w:r>
      <w:r>
        <w:rPr>
          <w:rFonts w:hint="default" w:ascii="Times New Roman" w:hAnsi="Times New Roman" w:eastAsia="仿宋_GB2312" w:cs="Times New Roman"/>
          <w:color w:val="231F20"/>
          <w:kern w:val="0"/>
          <w:sz w:val="24"/>
          <w:szCs w:val="24"/>
          <w:lang w:bidi="ar"/>
        </w:rPr>
        <w:t>filed approximately 94,000 global patent applications, with over 50,000 patents granted worldwide. In the field of AI, it has filed nearly 5,500 patent applications, with almost half already granted. In the semiconductor sector, the company has filed</w:t>
      </w:r>
      <w:r>
        <w:rPr>
          <w:rFonts w:hint="default" w:ascii="Times New Roman" w:hAnsi="Times New Roman" w:eastAsia="仿宋_GB2312" w:cs="Times New Roman"/>
          <w:color w:val="231F20"/>
          <w:kern w:val="0"/>
          <w:sz w:val="24"/>
          <w:szCs w:val="24"/>
          <w:lang w:bidi="ar"/>
        </w:rPr>
        <w:t xml:space="preserve"> </w:t>
      </w:r>
      <w:r>
        <w:rPr>
          <w:rFonts w:hint="default" w:ascii="Times New Roman" w:hAnsi="Times New Roman" w:eastAsia="仿宋_GB2312" w:cs="Times New Roman"/>
          <w:color w:val="231F20"/>
          <w:kern w:val="0"/>
          <w:sz w:val="24"/>
          <w:szCs w:val="24"/>
          <w:lang w:bidi="ar"/>
        </w:rPr>
        <w:t>approximately 5,700 patent applications, with more than 3,700 patents granted to date.</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ZTE has won numerous awards in </w:t>
      </w:r>
      <w:r>
        <w:rPr>
          <w:rFonts w:hint="default" w:ascii="Times New Roman" w:hAnsi="Times New Roman" w:eastAsia="仿宋_GB2312" w:cs="Times New Roman"/>
          <w:color w:val="231F20"/>
          <w:kern w:val="0"/>
          <w:sz w:val="24"/>
          <w:szCs w:val="24"/>
          <w:lang w:bidi="ar"/>
        </w:rPr>
        <w:t xml:space="preserve">the </w:t>
      </w:r>
      <w:r>
        <w:rPr>
          <w:rFonts w:hint="default" w:ascii="Times New Roman" w:hAnsi="Times New Roman" w:eastAsia="仿宋_GB2312" w:cs="Times New Roman"/>
          <w:color w:val="231F20"/>
          <w:kern w:val="0"/>
          <w:sz w:val="24"/>
          <w:szCs w:val="24"/>
          <w:lang w:bidi="ar"/>
        </w:rPr>
        <w:t>Patent Awards Selection.  To date, ZTE Corporation has won a total of 11 gold awards, 3 silver awards, and 35 excellence awards (excluding subsidiaries, if included, 39 excellence) in the China Patent Award Selection, making it the company in the communications industry that has won the most China Patent Awards. </w:t>
      </w:r>
      <w:r>
        <w:rPr>
          <w:rFonts w:hint="default" w:ascii="Times New Roman" w:hAnsi="Times New Roman" w:eastAsia="仿宋_GB2312" w:cs="Times New Roman"/>
          <w:color w:val="231F20"/>
          <w:kern w:val="0"/>
          <w:sz w:val="24"/>
          <w:szCs w:val="24"/>
          <w:lang w:bidi="ar"/>
        </w:rPr>
        <w:t xml:space="preserve">The company has won </w:t>
      </w:r>
      <w:r>
        <w:rPr>
          <w:rFonts w:hint="default" w:ascii="Times New Roman" w:hAnsi="Times New Roman" w:eastAsia="仿宋_GB2312" w:cs="Times New Roman"/>
          <w:color w:val="231F20"/>
          <w:kern w:val="0"/>
          <w:sz w:val="24"/>
          <w:szCs w:val="24"/>
          <w:lang w:bidi="ar"/>
        </w:rPr>
        <w:t>9 gold awards, 4 silver awards, and 12 excellence awards in the Guangdong Province Patent Award Selection, making it a total of 23 awards (excluding subsidiaries, if included, 11 gold, 5 silver, and 15 excellent), accumulating the most awards in the communication industry.</w:t>
      </w:r>
      <w:r>
        <w:rPr>
          <w:rFonts w:hint="default" w:ascii="Times New Roman" w:hAnsi="Times New Roman" w:eastAsia="仿宋_GB2312" w:cs="Times New Roman"/>
          <w:color w:val="231F20"/>
          <w:kern w:val="0"/>
          <w:sz w:val="24"/>
          <w:szCs w:val="24"/>
          <w:lang w:bidi="ar"/>
        </w:rPr>
        <w:t xml:space="preserve"> In June 2024, ZTE w</w:t>
      </w:r>
      <w:r>
        <w:rPr>
          <w:rFonts w:hint="default" w:ascii="Times New Roman" w:hAnsi="Times New Roman" w:eastAsia="仿宋_GB2312" w:cs="Times New Roman"/>
          <w:color w:val="231F20"/>
          <w:kern w:val="0"/>
          <w:sz w:val="24"/>
          <w:szCs w:val="24"/>
          <w:lang w:bidi="ar"/>
        </w:rPr>
        <w:t>on</w:t>
      </w:r>
      <w:r>
        <w:rPr>
          <w:rFonts w:hint="default" w:ascii="Times New Roman" w:hAnsi="Times New Roman" w:eastAsia="仿宋_GB2312" w:cs="Times New Roman"/>
          <w:color w:val="231F20"/>
          <w:kern w:val="0"/>
          <w:sz w:val="24"/>
          <w:szCs w:val="24"/>
          <w:lang w:bidi="ar"/>
        </w:rPr>
        <w:t xml:space="preserve"> three First Prizes and two Second Prizes in the 2023 State Scientific and Technological Progress Award of China.</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231F20"/>
          <w:kern w:val="0"/>
          <w:sz w:val="24"/>
          <w:szCs w:val="24"/>
          <w:lang w:bidi="ar"/>
        </w:rPr>
      </w:pPr>
      <w:r>
        <w:rPr>
          <w:rFonts w:hint="default" w:ascii="Times New Roman" w:hAnsi="Times New Roman" w:eastAsia="仿宋_GB2312" w:cs="Times New Roman"/>
          <w:color w:val="231F20"/>
          <w:kern w:val="0"/>
          <w:sz w:val="24"/>
          <w:szCs w:val="24"/>
          <w:lang w:bidi="ar"/>
        </w:rPr>
        <w:t>Amid a new wave of technological and industrial transformation, ZTE is committed to its vision "To lead in connectivity and intelligent computing", continuing to advance the integration of AI with ICT. Adhering to the principles of extensive collaboration and open cooperation for mutual benefit, ZTE, together with its partners, aims to empower the real economy and promote computing and AI for all, contributing to global digital and intelligent transformation.</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江苏银行扬州分行</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苏银行扬州分行成立于2007年1月24日，目前下辖25个网点，共有770名员工。分行始终秉承“服务中小企业、服务地方经济、服务城乡居民”的市场定位，坚持以客户为中心，服务实体，贴近民生，大力发展科技金融、普惠金融，创新绿色金融、民生金融，着力加强金融对经济的支持和服务，市场份额逐年增长，资产质量稳定向好，盈利能力不断增强，社会认识度与美誉度大幅提升，已经快速成长为一支综合实力和市场竞争力兼备的扬州金融生力军。</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Bank of Jiangsu Yangzhou Branch</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Established on January 24, 2007, Bank of Jiangsu Yangzhou Branch currently has 25 branches with a total of 770 employees. It upholds the principle of "serving small and medium-sized enterprises, local economy, and urban and rural residents" and adhering to centering around customers, serving entities, and being close to people's livelihoods. It focuses on developing technology finance, inclusive finance, innovative green finance and livelihood finance. It also focuses on strengthening financial support and services for the economy. Its market share has been increasing year by year, asset quality has been stable and improving, profitability has been continuously enhanced, social awareness and reputation have been greatly improved. Therefore, it has grown into a strong financial force in Yangzhou with comprehensive strength and market competitiveness.</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丰尚农牧装备有限公司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丰尚农牧装备有限公司总部位于中国扬州，是一家致力于以仓储机械及粮油加工机械为核心，为全球客户提供农牧装备全产业链系统解决方案的综合供应商。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司在全球范围内设立生产基地、研究院，汇聚全球资源，吸纳行业顶尖人才。目前公司已设立54个海外代表处，产品行销多个国家和地区。未来，丰尚将在印度、美国硅谷等地逐步建立研究所，聚焦不同的专业领域，构建全球研发高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我们重视创新、勤奋、敬业、诚信、快速响应和团队合作。我们的愿景是做农牧业最优方案提供商，让生活更美好。</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FAMSUN Co., Ltd.(Agricultural Equipment)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FAMSUN Group Co., Ltd., headquartered in Yangzhou, China, is a global technology partner and the integrated solution provider of plant, equipment and services in grain milling, grain handling and storage, oilseed processing, steel structure construction and industrial automation.</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FAMSUN has established production bases and research institutes globally, gathering top industry talent and resources. With 54 overseas offices and a presence in multiple countries and regions, we continue to expand globally. In the future, we plan to establish specialized research institutes in India and Silicon Valley, USA, focusing on different fields to build global R&amp;D hubs.</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Our vision is to provide optimal technology solution and make life better for all. We value innovation, hard work, dedication, integrity, quick response and team work.</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EC23D2-529C-4295-91DF-04918C7831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B5251C6-1B42-4998-9434-1212382AB548}"/>
  </w:font>
  <w:font w:name="仿宋_GB2312">
    <w:panose1 w:val="02010609030101010101"/>
    <w:charset w:val="86"/>
    <w:family w:val="modern"/>
    <w:pitch w:val="default"/>
    <w:sig w:usb0="00000000" w:usb1="00000000" w:usb2="00000000" w:usb3="00000000" w:csb0="00000000" w:csb1="00000000"/>
    <w:embedRegular r:id="rId3" w:fontKey="{8B298BEB-5E8A-4DBC-AC84-8CB332AFD773}"/>
  </w:font>
  <w:font w:name="方正小标宋简体">
    <w:altName w:val="仿宋_GB2312"/>
    <w:panose1 w:val="02010601030101010101"/>
    <w:charset w:val="86"/>
    <w:family w:val="auto"/>
    <w:pitch w:val="default"/>
    <w:sig w:usb0="00000000" w:usb1="00000000" w:usb2="00000010" w:usb3="00000000" w:csb0="00040000" w:csb1="00000000"/>
    <w:embedRegular r:id="rId4" w:fontKey="{B6D001C2-5125-4D5A-8F03-0A1BCCEEAA78}"/>
  </w:font>
  <w:font w:name="仿宋">
    <w:panose1 w:val="02010609060101010101"/>
    <w:charset w:val="86"/>
    <w:family w:val="modern"/>
    <w:pitch w:val="default"/>
    <w:sig w:usb0="800002BF" w:usb1="38CF7CFA" w:usb2="00000016" w:usb3="00000000" w:csb0="00040001" w:csb1="00000000"/>
    <w:embedRegular r:id="rId5" w:fontKey="{2B5AA2ED-95C2-4CED-8DF7-32E57C17AD98}"/>
  </w:font>
  <w:font w:name="方正仿宋_GBK">
    <w:panose1 w:val="03000509000000000000"/>
    <w:charset w:val="86"/>
    <w:family w:val="script"/>
    <w:pitch w:val="default"/>
    <w:sig w:usb0="00000000" w:usb1="00000000" w:usb2="00000000" w:usb3="00000000" w:csb0="00000000" w:csb1="00000000"/>
    <w:embedRegular r:id="rId6" w:fontKey="{63134047-0196-4446-B92A-1D929208B9AD}"/>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F7"/>
    <w:rsid w:val="00010173"/>
    <w:rsid w:val="000B2F59"/>
    <w:rsid w:val="003C6759"/>
    <w:rsid w:val="00430D3B"/>
    <w:rsid w:val="00493080"/>
    <w:rsid w:val="004C238C"/>
    <w:rsid w:val="005E16B8"/>
    <w:rsid w:val="007E359E"/>
    <w:rsid w:val="00820F82"/>
    <w:rsid w:val="0083596D"/>
    <w:rsid w:val="00890BFA"/>
    <w:rsid w:val="008A015B"/>
    <w:rsid w:val="00910110"/>
    <w:rsid w:val="00AC3F8B"/>
    <w:rsid w:val="00B4276A"/>
    <w:rsid w:val="00DA5804"/>
    <w:rsid w:val="00DF4AF7"/>
    <w:rsid w:val="00EE56A1"/>
    <w:rsid w:val="00F017A2"/>
    <w:rsid w:val="00FA477B"/>
    <w:rsid w:val="00FC62A0"/>
    <w:rsid w:val="0938219B"/>
    <w:rsid w:val="21B94216"/>
    <w:rsid w:val="5863030F"/>
    <w:rsid w:val="5F1B00E2"/>
    <w:rsid w:val="64A8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9701</Words>
  <Characters>55298</Characters>
  <Lines>460</Lines>
  <Paragraphs>129</Paragraphs>
  <TotalTime>4</TotalTime>
  <ScaleCrop>false</ScaleCrop>
  <LinksUpToDate>false</LinksUpToDate>
  <CharactersWithSpaces>64870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2025-09-01T10:46:00Z</dcterms:created>
  <dc:creator>HP</dc:creator>
  <cp:lastModifiedBy>ShiYongRen</cp:lastModifiedBy>
  <dcterms:modified xsi:type="dcterms:W3CDTF">2025-09-16T09:45:40Z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eyJoZGlkIjoiNjJkNGI4M2E5MmE3ZGIyNTBmOGMzZmYzYzg5NTdhY2EiLCJ1c2VySWQiOiIxMTU3MzQwOTEyIn0=</vt:lpwstr>
  </property>
  <property fmtid="{D5CDD505-2E9C-101B-9397-08002B2CF9AE}" pid="3" name="KSOProductBuildVer">
    <vt:lpwstr>2052-11.8.2.8696</vt:lpwstr>
  </property>
  <property fmtid="{D5CDD505-2E9C-101B-9397-08002B2CF9AE}" pid="4" name="ICV">
    <vt:lpwstr>A15D31757C6640FCB475F3F391C07E1B_13</vt:lpwstr>
  </property>
</Properties>
</file>